
<file path=[Content_Types].xml><?xml version="1.0" encoding="utf-8"?>
<Types xmlns="http://schemas.openxmlformats.org/package/2006/content-types">
  <Default ContentType="image/jpeg" Extension="jpe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app.xml" Type="http://schemas.openxmlformats.org/officeDocument/2006/relationships/extended-properties"/><Relationship Id="rId3" Target="docProps/core.xml" Type="http://schemas.openxmlformats.org/package/2006/relationships/metadata/core-properties"/></Relationships>
</file>

<file path=word/document.xml><?xml version="1.0" encoding="utf-8"?>
<w:document xmlns:w="http://schemas.openxmlformats.org/wordprocessingml/2006/main" xmlns:wp="http://schemas.openxmlformats.org/drawingml/2006/wordprocessingDrawing" xmlns:r="http://schemas.openxmlformats.org/officeDocument/2006/relationships">
  <w:body>
    <w:p>
      <w:pPr>
        <w:pStyle w:val="Heading1"/>
        <w:keepNext w:val="on"/>
        <w:ind w:left="1"/>
      </w:pPr>
      <w:r>
        <w:rPr>
          <w:rFonts w:ascii="Arial" w:hAnsi="Arial" w:cs="Arial" w:eastAsia="Arial"/>
          <w:b w:val="true"/>
          <w:sz w:val="26"/>
        </w:rPr>
        <w:t xml:space="preserve">1. </w:t>
        <w:t>TITLE PAGE</w:t>
      </w:r>
      <w:bookmarkStart w:name="_TITLE_PAGE" w:id="1252"/>
    </w:p>
    <w:p>
      <w:pPr>
        <w:jc w:val="center"/>
      </w:pPr>
      <w:r>
        <w:drawing>
          <wp:inline distT="0" distR="0" distB="0" distL="0">
            <wp:extent cx="2540000" cy="635000"/>
            <wp:docPr id="0" name="Drawing 0" descr="working/logo.png"/>
            <a:graphic xmlns:a="http://schemas.openxmlformats.org/drawingml/2006/main">
              <a:graphicData uri="http://schemas.openxmlformats.org/drawingml/2006/picture">
                <pic:pic xmlns:pic="http://schemas.openxmlformats.org/drawingml/2006/picture">
                  <pic:nvPicPr>
                    <pic:cNvPr id="0" name="Picture 0" descr="working/logo.png"/>
                    <pic:cNvPicPr>
                      <a:picLocks noChangeAspect="true"/>
                    </pic:cNvPicPr>
                  </pic:nvPicPr>
                  <pic:blipFill>
                    <a:blip r:embed="rId3"/>
                    <a:stretch>
                      <a:fillRect/>
                    </a:stretch>
                  </pic:blipFill>
                  <pic:spPr>
                    <a:xfrm>
                      <a:off x="0" y="0"/>
                      <a:ext cx="2540000" cy="635000"/>
                    </a:xfrm>
                    <a:prstGeom prst="rect">
                      <a:avLst/>
                    </a:prstGeom>
                  </pic:spPr>
                </pic:pic>
              </a:graphicData>
            </a:graphic>
          </wp:inline>
        </w:drawing>
      </w:r>
    </w:p>
    <w:p>
      <w:r/>
    </w:p>
    <w:tbl>
      <w:tblPr>
        <w:tblW w:w="0" w:type="auto"/>
      </w:tblPr>
      <w:tblPr>
        <w:tblW w:w="10000"/>
      </w:tblPr>
      <w:tr>
        <w:tc>
          <w:tcPr>
            <w:hMerge w:val="restart"/>
          </w:tcPr>
          <w:p>
            <w:pPr>
              <w:jc w:val="center"/>
            </w:pPr>
            <w:r>
              <w:t>Clinical Study Report</w:t>
            </w:r>
          </w:p>
        </w:tc>
        <w:tc>
          <w:tcPr>
            <w:hMerge w:val="continue"/>
          </w:tcPr>
          <w:p>
            <w:r>
              <w:t/>
            </w:r>
          </w:p>
        </w:tc>
      </w:tr>
      <w:tr>
        <w:tc>
          <w:tcPr>
            <w:tcW w:w="5000" w:type="dxa"/>
          </w:tcPr>
          <w:tcPr>
            <w:tcW w:w="5000" w:type="dxa"/>
          </w:tcPr>
          <w:p>
            <w:r>
              <w:t>STUDY TITLE:</w:t>
            </w:r>
          </w:p>
        </w:tc>
        <w:tc>
          <w:p>
            <w:r>
              <w:t>A Multicenter, Double-Blind, Randomized, Cross-Over Study Evaluating Pharmacodynamic Activity of E2730 in Adult Subjects with Photosensitive Epilepsy</w:t>
            </w:r>
          </w:p>
        </w:tc>
      </w:tr>
      <w:tr>
        <w:tc>
          <w:tcPr>
            <w:tcW w:w="5000" w:type="dxa"/>
          </w:tcPr>
          <w:tcPr>
            <w:tcW w:w="5000" w:type="dxa"/>
          </w:tcPr>
          <w:p>
            <w:r>
              <w:t>INVESTIGATIONAL DRUG NAME:</w:t>
            </w:r>
          </w:p>
        </w:tc>
        <w:tc>
          <w:p>
            <w:r>
              <w:t>E2730</w:t>
            </w:r>
          </w:p>
        </w:tc>
      </w:tr>
      <w:tr>
        <w:tc>
          <w:tcPr>
            <w:tcW w:w="5000" w:type="dxa"/>
          </w:tcPr>
          <w:tcPr>
            <w:tcW w:w="5000" w:type="dxa"/>
          </w:tcPr>
          <w:p>
            <w:r>
              <w:t>INDICATION:</w:t>
            </w:r>
          </w:p>
        </w:tc>
        <w:tc>
          <w:p>
            <w:r>
              <w:t>Not applicable</w:t>
            </w:r>
          </w:p>
        </w:tc>
      </w:tr>
      <w:tr>
        <w:tc>
          <w:tcPr>
            <w:tcW w:w="5000" w:type="dxa"/>
          </w:tcPr>
          <w:tcPr>
            <w:tcW w:w="5000" w:type="dxa"/>
          </w:tcPr>
          <w:p>
            <w:r>
              <w:t>STUDY DESIGN:</w:t>
            </w:r>
          </w:p>
        </w:tc>
        <w:tc>
          <w:p>
            <w:r>
              <w:t/>
            </w:r>
          </w:p>
        </w:tc>
      </w:tr>
      <w:tr>
        <w:tc>
          <w:tcPr>
            <w:tcW w:w="5000" w:type="dxa"/>
          </w:tcPr>
          <w:tcPr>
            <w:tcW w:w="5000" w:type="dxa"/>
          </w:tcPr>
          <w:p>
            <w:r>
              <w:t>PROTOCOL NUMBER:</w:t>
            </w:r>
          </w:p>
        </w:tc>
        <w:tc>
          <w:p>
            <w:r>
              <w:t>E2730-A001-201</w:t>
            </w:r>
          </w:p>
        </w:tc>
      </w:tr>
      <w:tr>
        <w:tc>
          <w:tcPr>
            <w:tcW w:w="5000" w:type="dxa"/>
          </w:tcPr>
          <w:tcPr>
            <w:tcW w:w="5000" w:type="dxa"/>
          </w:tcPr>
          <w:p>
            <w:r>
              <w:t>DRUG DEVELOPMENT PHASE:</w:t>
            </w:r>
          </w:p>
        </w:tc>
        <w:tc>
          <w:p>
            <w:r>
              <w:t>2</w:t>
            </w:r>
          </w:p>
        </w:tc>
      </w:tr>
      <w:tr>
        <w:tc>
          <w:tcPr>
            <w:tcW w:w="5000" w:type="dxa"/>
            <w:hMerge w:val="restart"/>
            <w:shd w:color="auto" w:val="clear" w:fill="f6ff00"/>
          </w:tcPr>
          <w:tcPr>
            <w:tcW w:w="5000" w:type="dxa"/>
          </w:tcPr>
          <w:p>
            <w:r>
              <w:t>STUDY INITIATION DATE:</w:t>
            </w:r>
          </w:p>
        </w:tc>
        <w:tc>
          <w:p>
            <w:r>
              <w:t/>
            </w:r>
          </w:p>
        </w:tc>
      </w:tr>
      <w:tr>
        <w:tc>
          <w:tcPr>
            <w:tcW w:w="5000" w:type="dxa"/>
            <w:hMerge w:val="restart"/>
            <w:shd w:color="auto" w:val="clear" w:fill="f6ff00"/>
          </w:tcPr>
          <w:tcPr>
            <w:tcW w:w="5000" w:type="dxa"/>
          </w:tcPr>
          <w:p>
            <w:r>
              <w:t>STUDY COMPLETION DATE:</w:t>
            </w:r>
          </w:p>
        </w:tc>
        <w:tc>
          <w:p>
            <w:r>
              <w:t/>
            </w:r>
          </w:p>
        </w:tc>
      </w:tr>
      <w:tr>
        <w:tc>
          <w:tcPr>
            <w:tcW w:w="5000" w:type="dxa"/>
          </w:tcPr>
          <w:tcPr>
            <w:tcW w:w="5000" w:type="dxa"/>
          </w:tcPr>
          <w:p>
            <w:r>
              <w:t>GCP STATEMENT:</w:t>
            </w:r>
          </w:p>
        </w:tc>
        <w:tc>
          <w:p>
            <w:r>
              <w:t>This study was conducted in compliance with the Declaration of Helsinki and Good Clinical Practice or Trials on Medicinal Products, including archiving of essential study documents.</w:t>
            </w:r>
          </w:p>
        </w:tc>
      </w:tr>
      <w:tr>
        <w:tc>
          <w:tcPr>
            <w:tcW w:w="5000" w:type="dxa"/>
            <w:hMerge w:val="restart"/>
          </w:tcPr>
          <w:tcPr>
            <w:tcW w:w="5000" w:type="dxa"/>
          </w:tcPr>
          <w:p>
            <w:r>
              <w:t>DATE OF REPORT:</w:t>
            </w:r>
          </w:p>
        </w:tc>
        <w:tc>
          <w:tcPr>
            <w:hMerge/>
          </w:tcPr>
          <w:p>
            <w:r>
              <w:t/>
            </w:r>
          </w:p>
        </w:tc>
      </w:tr>
      <w:tr>
        <w:tc>
          <w:tcPr>
            <w:tcW w:w="5000" w:type="dxa"/>
          </w:tcPr>
          <w:tcPr>
            <w:tcW w:w="5000" w:type="dxa"/>
          </w:tcPr>
          <w:p>
            <w:r>
              <w:t xml:space="preserve">Signature pages for clinical study report </w:t>
            </w:r>
          </w:p>
        </w:tc>
        <w:tc>
          <w:p>
            <w:r>
              <w:t/>
            </w:r>
          </w:p>
        </w:tc>
      </w:tr>
      <w:tr>
        <w:tc>
          <w:tcPr>
            <w:tcW w:w="5000" w:type="dxa"/>
          </w:tcPr>
          <w:tcPr>
            <w:tcW w:w="5000" w:type="dxa"/>
          </w:tcPr>
          <w:p>
            <w:r>
              <w:t>I have read this report and confirm that to the best of my knowledge it accurately describes the conduct and results of the study.</w:t>
            </w:r>
          </w:p>
        </w:tc>
        <w:tc>
          <w:p>
            <w:r>
              <w:t/>
            </w:r>
          </w:p>
        </w:tc>
      </w:tr>
      <w:tr>
        <w:tc>
          <w:tcPr>
            <w:tcW w:w="5000" w:type="dxa"/>
            <w:hMerge w:val="restart"/>
          </w:tcPr>
          <w:tcPr>
            <w:tcW w:w="5000" w:type="dxa"/>
          </w:tcPr>
          <w:p>
            <w:r>
              <w:t>Signed:</w:t>
            </w:r>
          </w:p>
        </w:tc>
        <w:tc>
          <w:tcPr>
            <w:hMerge/>
          </w:tcPr>
          <w:p>
            <w:r>
              <w:t>Date: ____/____/______</w:t>
            </w:r>
          </w:p>
        </w:tc>
      </w:tr>
      <w:tr>
        <w:tc>
          <w:tcPr>
            <w:tcW w:w="5000" w:type="dxa"/>
            <w:hMerge w:val="restart"/>
          </w:tcPr>
          <w:tcPr>
            <w:tcW w:w="5000" w:type="dxa"/>
          </w:tcPr>
          <w:p>
            <w:r>
              <w:t>Print name:</w:t>
            </w:r>
          </w:p>
        </w:tc>
        <w:tc>
          <w:tcPr>
            <w:hMerge/>
          </w:tcPr>
          <w:p>
            <w:r>
              <w:t/>
            </w:r>
          </w:p>
        </w:tc>
      </w:tr>
      <w:tr>
        <w:tc>
          <w:tcPr>
            <w:tcW w:w="5000" w:type="dxa"/>
          </w:tcPr>
          <w:tcPr>
            <w:tcW w:w="5000" w:type="dxa"/>
          </w:tcPr>
          <w:p>
            <w:r>
              <w:t>Affiliation:</w:t>
            </w:r>
          </w:p>
        </w:tc>
        <w:tc>
          <w:p>
            <w:r>
              <w:t/>
            </w:r>
          </w:p>
        </w:tc>
      </w:tr>
      <w:tr>
        <w:tc>
          <w:tcPr>
            <w:tcW w:w="5000" w:type="dxa"/>
          </w:tcPr>
          <w:tcPr>
            <w:tcW w:w="5000" w:type="dxa"/>
          </w:tcPr>
          <w:p>
            <w:r>
              <w:t>Address:</w:t>
            </w:r>
          </w:p>
        </w:tc>
        <w:tc>
          <w:p>
            <w:r>
              <w:t/>
            </w:r>
          </w:p>
        </w:tc>
      </w:tr>
      <w:tr>
        <w:tc>
          <w:tcPr>
            <w:tcW w:w="5000" w:type="dxa"/>
          </w:tcPr>
          <w:tcPr>
            <w:tcW w:w="5000" w:type="dxa"/>
          </w:tcPr>
          <w:p>
            <w:r>
              <w:t>Signed:</w:t>
            </w:r>
          </w:p>
        </w:tc>
        <w:tc>
          <w:p>
            <w:r>
              <w:t>Date: ____/____/______</w:t>
            </w:r>
          </w:p>
        </w:tc>
      </w:tr>
      <w:tr>
        <w:tc>
          <w:tcPr>
            <w:tcW w:w="5000" w:type="dxa"/>
          </w:tcPr>
          <w:tcPr>
            <w:tcW w:w="5000" w:type="dxa"/>
          </w:tcPr>
          <w:p>
            <w:r>
              <w:t>Print name:</w:t>
            </w:r>
          </w:p>
        </w:tc>
        <w:tc>
          <w:p>
            <w:r>
              <w:t/>
            </w:r>
          </w:p>
        </w:tc>
      </w:tr>
      <w:tr>
        <w:tc>
          <w:tcPr>
            <w:tcW w:w="5000" w:type="dxa"/>
          </w:tcPr>
          <w:tcPr>
            <w:tcW w:w="5000" w:type="dxa"/>
          </w:tcPr>
          <w:p>
            <w:r>
              <w:t>Affiliation:</w:t>
            </w:r>
          </w:p>
        </w:tc>
        <w:tc>
          <w:p>
            <w:r>
              <w:t/>
            </w:r>
          </w:p>
        </w:tc>
      </w:tr>
      <w:tr>
        <w:tc>
          <w:tcPr>
            <w:tcW w:w="5000" w:type="dxa"/>
          </w:tcPr>
          <w:tcPr>
            <w:tcW w:w="5000" w:type="dxa"/>
          </w:tcPr>
          <w:p>
            <w:r>
              <w:t>Address:</w:t>
            </w:r>
          </w:p>
        </w:tc>
        <w:tc>
          <w:p>
            <w:r>
              <w:t/>
            </w:r>
          </w:p>
        </w:tc>
      </w:tr>
      <w:tr>
        <w:tc>
          <w:tcPr>
            <w:tcW w:w="5000" w:type="dxa"/>
          </w:tcPr>
          <w:tcPr>
            <w:tcW w:w="5000" w:type="dxa"/>
          </w:tcPr>
          <w:p>
            <w:r>
              <w:t>Signed:</w:t>
            </w:r>
          </w:p>
        </w:tc>
        <w:tc>
          <w:p>
            <w:r>
              <w:t>Date: ____/____/______</w:t>
            </w:r>
          </w:p>
        </w:tc>
      </w:tr>
      <w:tr>
        <w:tc>
          <w:tcPr>
            <w:tcW w:w="5000" w:type="dxa"/>
          </w:tcPr>
          <w:tcPr>
            <w:tcW w:w="5000" w:type="dxa"/>
          </w:tcPr>
          <w:p>
            <w:r>
              <w:t>Print name:</w:t>
            </w:r>
          </w:p>
        </w:tc>
        <w:tc>
          <w:p>
            <w:r>
              <w:t/>
            </w:r>
          </w:p>
        </w:tc>
      </w:tr>
      <w:tr>
        <w:tc>
          <w:tcPr>
            <w:tcW w:w="5000" w:type="dxa"/>
          </w:tcPr>
          <w:tcPr>
            <w:tcW w:w="5000" w:type="dxa"/>
          </w:tcPr>
          <w:p>
            <w:r>
              <w:t>Affiliation:</w:t>
            </w:r>
          </w:p>
        </w:tc>
        <w:tc>
          <w:p>
            <w:r>
              <w:t/>
            </w:r>
          </w:p>
        </w:tc>
      </w:tr>
      <w:tr>
        <w:tc>
          <w:tcPr>
            <w:tcW w:w="5000" w:type="dxa"/>
          </w:tcPr>
          <w:tcPr>
            <w:tcW w:w="5000" w:type="dxa"/>
          </w:tcPr>
          <w:p>
            <w:r>
              <w:t>Address:</w:t>
            </w:r>
          </w:p>
        </w:tc>
        <w:tc>
          <w:p>
            <w:r>
              <w:t/>
            </w:r>
          </w:p>
        </w:tc>
      </w:tr>
      <w:tr>
        <w:tc>
          <w:tcPr>
            <w:tcW w:w="5000" w:type="dxa"/>
          </w:tcPr>
          <w:tcPr>
            <w:tcW w:w="5000" w:type="dxa"/>
          </w:tcPr>
          <w:p>
            <w:r>
              <w:t>Signed:</w:t>
            </w:r>
          </w:p>
        </w:tc>
        <w:tc>
          <w:p>
            <w:r>
              <w:t>Date: ____/____/______</w:t>
            </w:r>
          </w:p>
        </w:tc>
      </w:tr>
      <w:tr>
        <w:tc>
          <w:tcPr>
            <w:tcW w:w="5000" w:type="dxa"/>
          </w:tcPr>
          <w:tcPr>
            <w:tcW w:w="5000" w:type="dxa"/>
          </w:tcPr>
          <w:p>
            <w:r>
              <w:t>Print name:</w:t>
            </w:r>
          </w:p>
        </w:tc>
        <w:tc>
          <w:p>
            <w:r>
              <w:t/>
            </w:r>
          </w:p>
        </w:tc>
      </w:tr>
      <w:tr>
        <w:tc>
          <w:tcPr>
            <w:tcW w:w="5000" w:type="dxa"/>
          </w:tcPr>
          <w:tcPr>
            <w:tcW w:w="5000" w:type="dxa"/>
          </w:tcPr>
          <w:p>
            <w:r>
              <w:t>Affiliation:</w:t>
            </w:r>
          </w:p>
        </w:tc>
        <w:tc>
          <w:p>
            <w:r>
              <w:t/>
            </w:r>
          </w:p>
        </w:tc>
      </w:tr>
      <w:tr>
        <w:tc>
          <w:tcPr>
            <w:tcW w:w="5000" w:type="dxa"/>
          </w:tcPr>
          <w:tcPr>
            <w:tcW w:w="5000" w:type="dxa"/>
          </w:tcPr>
          <w:p>
            <w:r>
              <w:t>Address:</w:t>
            </w:r>
          </w:p>
        </w:tc>
        <w:tc>
          <w:p>
            <w:r>
              <w:t/>
            </w:r>
          </w:p>
        </w:tc>
      </w:tr>
      <w:tr>
        <w:tc>
          <w:tcPr>
            <w:tcW w:w="5000" w:type="dxa"/>
          </w:tcPr>
          <w:tcPr>
            <w:tcW w:w="5000" w:type="dxa"/>
          </w:tcPr>
          <w:p>
            <w:r>
              <w:t>Signed:</w:t>
            </w:r>
          </w:p>
        </w:tc>
        <w:tc>
          <w:p>
            <w:r>
              <w:t>Date: ____/____/______</w:t>
            </w:r>
          </w:p>
        </w:tc>
      </w:tr>
      <w:tr>
        <w:tc>
          <w:tcPr>
            <w:tcW w:w="5000" w:type="dxa"/>
          </w:tcPr>
          <w:tcPr>
            <w:tcW w:w="5000" w:type="dxa"/>
          </w:tcPr>
          <w:p>
            <w:r>
              <w:t>Print name:</w:t>
            </w:r>
          </w:p>
        </w:tc>
        <w:tc>
          <w:p>
            <w:r>
              <w:t/>
            </w:r>
          </w:p>
        </w:tc>
      </w:tr>
      <w:tr>
        <w:tc>
          <w:tcPr>
            <w:tcW w:w="5000" w:type="dxa"/>
          </w:tcPr>
          <w:tcPr>
            <w:tcW w:w="5000" w:type="dxa"/>
          </w:tcPr>
          <w:p>
            <w:r>
              <w:t>Affiliation:</w:t>
            </w:r>
          </w:p>
        </w:tc>
        <w:tc>
          <w:p>
            <w:r>
              <w:t/>
            </w:r>
          </w:p>
        </w:tc>
      </w:tr>
      <w:tr>
        <w:tc>
          <w:tcPr>
            <w:tcW w:w="5000" w:type="dxa"/>
          </w:tcPr>
          <w:tcPr>
            <w:tcW w:w="5000" w:type="dxa"/>
          </w:tcPr>
          <w:p>
            <w:r>
              <w:t>Address:</w:t>
            </w:r>
          </w:p>
        </w:tc>
        <w:tc>
          <w:p>
            <w:r>
              <w:t/>
            </w:r>
          </w:p>
        </w:tc>
      </w:tr>
    </w:tbl>
    <w:p>
      <w:r>
        <w:cr/>
      </w:r>
    </w:p>
    <w:p>
      <w:pPr>
        <w:pStyle w:val="Heading1"/>
        <w:keepNext w:val="on"/>
        <w:ind w:left="1"/>
      </w:pPr>
      <w:r>
        <w:rPr>
          <w:rFonts w:ascii="Arial" w:hAnsi="Arial" w:cs="Arial" w:eastAsia="Arial"/>
          <w:b w:val="true"/>
          <w:sz w:val="26"/>
        </w:rPr>
        <w:t xml:space="preserve">2. </w:t>
        <w:t>STUDY SYNOPSIS</w:t>
      </w:r>
      <w:bookmarkStart w:name="_STUDY_SYNOPSIS" w:id="1253"/>
    </w:p>
    <w:tbl>
      <w:tblPr>
        <w:tblW w:w="0" w:type="auto"/>
        <w:jc w:val="right"/>
        <w:tblBorders>
          <w:top w:val="single"/>
          <w:left w:val="single"/>
          <w:bottom w:val="single"/>
          <w:right w:val="single"/>
          <w:insideH w:val="single"/>
          <w:insideV w:val="single"/>
        </w:tblBorders>
      </w:tblPr>
      <w:tblPr>
        <w:tblW w:w="9000"/>
      </w:tblPr>
      <w:tr>
        <w:tc>
          <w:tcPr>
            <w:tcW w:w="2880" w:type="dxa"/>
          </w:tcPr>
          <w:p>
            <w:r>
              <w:t>NAME OF SPONSOR</w:t>
            </w:r>
          </w:p>
        </w:tc>
        <w:tc>
          <w:p>
            <w:r>
              <w:t>Eisai</w:t>
            </w:r>
          </w:p>
        </w:tc>
      </w:tr>
      <w:tr>
        <w:tc>
          <w:p>
            <w:r>
              <w:t>NAME OF FINISHED PRODUCT</w:t>
            </w:r>
          </w:p>
        </w:tc>
        <w:tc>
          <w:p>
            <w:r>
              <w:t>N/A</w:t>
            </w:r>
          </w:p>
        </w:tc>
      </w:tr>
      <w:tr>
        <w:tc>
          <w:p>
            <w:r>
              <w:t>NAME OF ACTIVE INGREDIENT(S)</w:t>
            </w:r>
          </w:p>
        </w:tc>
        <w:tc>
          <w:p>
            <w:r>
              <w:t>N-[(1S)-2,2,5,7-Tetrafluoro-2,3-dihydro-1H-inden-1-yl]sulfuric  diamide</w:t>
            </w:r>
          </w:p>
        </w:tc>
      </w:tr>
      <w:tr>
        <w:tc>
          <w:p>
            <w:r>
              <w:t>Title of Study</w:t>
            </w:r>
          </w:p>
        </w:tc>
        <w:tc>
          <w:p>
            <w:r>
              <w:t>A Multicenter, Double-Blind, Randomized, Cross-Over Study Evaluating Pharmacodynamic Activity  of E2730 in Adult Subjects with Photosensitive Epilepsy</w:t>
            </w:r>
          </w:p>
        </w:tc>
      </w:tr>
      <w:tr>
        <w:tc>
          <w:p>
            <w:r>
              <w:t>Investigator(s)</w:t>
            </w:r>
          </w:p>
        </w:tc>
        <w:tc>
          <w:p>
            <w:r>
              <w:t>Gregory Krauss, MD</w:t>
            </w:r>
          </w:p>
        </w:tc>
      </w:tr>
      <w:tr>
        <w:tc>
          <w:p>
            <w:r>
              <w:t>Study centre(s)</w:t>
            </w:r>
          </w:p>
        </w:tc>
        <w:tc>
          <w:p>
            <w:r>
              <w:t/>
            </w:r>
          </w:p>
        </w:tc>
      </w:tr>
      <w:tr>
        <w:tc>
          <w:p>
            <w:r>
              <w:t>Publication</w:t>
            </w:r>
          </w:p>
        </w:tc>
        <w:tc>
          <w:p>
            <w:r>
              <w:t>N/A</w:t>
            </w:r>
          </w:p>
        </w:tc>
      </w:tr>
      <w:tr>
        <w:tc>
          <w:tcPr>
            <w:shd w:color="auto" w:val="clear" w:fill="f6ff00"/>
          </w:tcPr>
          <w:p>
            <w:r>
              <w:t>Study period</w:t>
            </w:r>
          </w:p>
        </w:tc>
        <w:tc>
          <w:p>
            <w:r>
              <w:t>from      To</w:t>
            </w:r>
          </w:p>
        </w:tc>
      </w:tr>
      <w:tr>
        <w:tc>
          <w:p>
            <w:r>
              <w:t>Phase</w:t>
            </w:r>
          </w:p>
        </w:tc>
        <w:tc>
          <w:p>
            <w:r>
              <w:t>Phase 2</w:t>
            </w:r>
          </w:p>
        </w:tc>
      </w:tr>
      <w:tr>
        <w:tc>
          <w:p>
            <w:r>
              <w:t>Objectives</w:t>
            </w:r>
          </w:p>
        </w:tc>
        <w:tc>
          <w:p>
            <w:r>
              <w:t xml:space="preserve">PRIMARY OBJECTIVE -    To assess the pharmacodynamic (PD) activity of E2730 as measured by suppression of  epileptic photoparoxysmal response (PPR) in the subject’s most sensitive eye condition as a  proof of principle of efficacy in subjects with photosensitive epilepsy SECONDARY OBJECTIVE -   To assess the PD activity of E2730 as measured by suppression of epileptic PPR, onset,  maximum change, and duration of response in 3 eye-conditions (eye closure, eyes closed, and  eyes open) in subjects with photosensitive epilepsy.   To assess the safety and tolerability of E2730 following a single oral dose in subjects with  photosensitive epilepsy  To assess the pharmacokinetics (PK) of E2730 following a single oral dose in subjects with  photosensitive epilepsy  To evaluate potential exposure-PD response relationships EXPLORATORY OBJECTIVE -   To collect pharmacogenomic (PGx) samples for exploratory investigation of heterogeneity in  drug response and clinical features of disease (These exploratory analyses are not limited to  this protocol or project.  These findings may be used for identification and validation of new  drug targets) </w:t>
            </w:r>
          </w:p>
        </w:tc>
      </w:tr>
      <w:tr>
        <w:tc>
          <w:p>
            <w:r>
              <w:t>studydesign</w:t>
            </w:r>
          </w:p>
        </w:tc>
        <w:tc>
          <w:p>
            <w:r>
              <w:t/>
            </w:r>
          </w:p>
        </w:tc>
      </w:tr>
      <w:tr>
        <w:tc>
          <w:p>
            <w:r>
              <w:t>Number of patients</w:t>
            </w:r>
          </w:p>
        </w:tc>
        <w:tc>
          <w:p>
            <w:r>
              <w:t>Approximately 9 subjects will be randomized to achieve 6 evaluable subjects.  Subjects who  discontinue from the study early may be replaced, after consultation with the sponsor.</w:t>
            </w:r>
          </w:p>
        </w:tc>
      </w:tr>
      <w:tr>
        <w:tc>
          <w:p>
            <w:r>
              <w:t>Diagnosis and main criteria for inclusion</w:t>
            </w:r>
          </w:p>
        </w:tc>
        <w:tc>
          <w:p>
            <w:r>
              <w:t>Subjects must meet all of the following criteria to be included in this study:  1. Male or female 18 to 60 years of age at the time of informed consent.  2. A diagnosis and history of a PPR on EEG with or without a diagnosis of epilepsy. 3. Currently taking up to a maximum of 3 concomitant antiepileptic drugs (AEDs).  If taking  concomitant AED(s), the dose must have remained stable for at least 4 weeks prior to  screening. 4. A reproducible IPS-induced PPR on EEG of at least 3 points on a frequency assessment scale  (SPR) in at least 1 eye condition on at least 3 of the EEGs performed at Screening. 5. A body mass index (BMI) between 18 to 35 kg/m2 and a total body weight greater than or  equal to 45 kg at the time of Screening. 6. Agrees to refrain from strenuous exercise and alcohol consumption during the 24-hour period  before Screening and during the 24-hour period prior to each treatment day. 7. Willing and able to comply with all aspects of the protocol.</w:t>
            </w:r>
          </w:p>
        </w:tc>
      </w:tr>
      <w:tr>
        <w:tc>
          <w:p>
            <w:r>
              <w:t>Test product, dose and mode of administration</w:t>
            </w:r>
          </w:p>
        </w:tc>
        <w:tc>
          <w:p>
            <w:r>
              <w:t>E2730 E2730 will be supplied as active pharmaceutical ingredient in capsule at dose strengths of 40 mg and  80 mg.   E2730-matched placebo Each subject will receive a single oral dose of E2730 40 mg, E2730 120 mg, and matched-placebo in  a cross-over sequence according to his/her randomization code.   E2730 40 mg: 1 E2730 40 mg capsule and 1 E2730-matched placebo capsule E2730 120 mg: 1 E2730 80 mg capsule and 1 E2730 40 mg capsule    Placebo: 2 E2730-matched placebo capsules  Up to 3 concomitant AEDs are allowed during the course of the study, provided that the dosage of  concomitant AED(s) has remained stable for at least 4 weeks prior to Screening.  During the study,  changes to concomitant AEDs (including dosage) are not permitted.</w:t>
            </w:r>
          </w:p>
        </w:tc>
      </w:tr>
      <w:tr>
        <w:tc>
          <w:p>
            <w:r>
              <w:t>Duration of treatment</w:t>
            </w:r>
          </w:p>
        </w:tc>
        <w:tc>
          <w:p>
            <w:r>
              <w:t>Single dose (ie, the Randomization Phase will consist of 3 Treatment Periods with a single dose in  each period)</w:t>
            </w:r>
          </w:p>
        </w:tc>
      </w:tr>
      <w:tr>
        <w:tc>
          <w:p>
            <w:r>
              <w:t>Bioanalytical Methods</w:t>
            </w:r>
          </w:p>
        </w:tc>
        <w:tc>
          <w:p>
            <w:r>
              <w:t>Plasma concentrations of E2730 and the N-acetyl metabolite (M1) will be measured using validated  liquid chromatography coupled with tandem mass spectrometry (LC-MS/MS) methods.</w:t>
            </w:r>
          </w:p>
        </w:tc>
      </w:tr>
      <w:tr>
        <w:tc>
          <w:p>
            <w:r>
              <w:t>Criteria for evaluation</w:t>
            </w:r>
          </w:p>
        </w:tc>
        <w:tc>
          <w:p>
            <w:r>
              <w:t xml:space="preserve">EFFICACY ASSESSMENTS -  Not applicable SAFETY ASSESSMENTS -  Safety assessments will consist of monitoring and recording all adverse events (AEs); laboratory  evaluation for hematology, blood chemistry, and urine values; measurement of vital signs and ECGs;  and the performance of neurological and physical examinations.   An assessment of suicidality using the C-SSRS will be performed at Screening, during each  Treatment visit (postdose), and at the Follow-up/ED Visit. </w:t>
            </w:r>
          </w:p>
        </w:tc>
      </w:tr>
      <w:tr>
        <w:tc>
          <w:p>
            <w:r>
              <w:t>Statistical methods</w:t>
            </w:r>
          </w:p>
        </w:tc>
        <w:tc>
          <w:p>
            <w:r>
              <w:t xml:space="preserve">PRIMARY ENDPOINT -  Mean change from baseline in the PPR range in each subject’s most sensitive eye condition at each  dose level of E2730 as compared to placebo SECONDARY ENDPOINTS -   Mean changes from baseline in PPR ranges in each subject’s eye closure, eyes closed, and  eyes open condition at each dose level of E2730 as compared to placebo  Onset, maximum change, and duration of photosensitivity response at each dose level in all 3  eye conditions at the time course of E2730 as compared to placebo   Frequency and percentage of subjects with Complete Suppression, Partial Response, and no  Response of PPR at each dose level of E2730 as compared to placebo  Occurrence of AEs or changes in the neurological examination after single doses of E2730  compared to placebo  Changes in vital signs, serum chemistries, complete blood counts, or liver function tests after  single doses of E2730 compared to placebo  PK of E2730 and its N-acetyl metabolite, M1  Relationship between PK parameters of E2730 onset, maximum change, and duration of  impact on photosensitivity </w:t>
            </w:r>
          </w:p>
        </w:tc>
      </w:tr>
      <w:tr>
        <w:tc>
          <w:tcPr>
            <w:shd w:color="auto" w:val="clear" w:fill="f6ff00"/>
          </w:tcPr>
          <w:p>
            <w:r>
              <w:t>SUMMARY CONCLUSIONS</w:t>
            </w:r>
          </w:p>
        </w:tc>
        <w:tc>
          <w:p>
            <w:r>
              <w:t/>
            </w:r>
          </w:p>
        </w:tc>
      </w:tr>
      <w:tr>
        <w:tc>
          <w:p>
            <w:r>
              <w:t>EFFICACY RESULTS</w:t>
            </w:r>
          </w:p>
        </w:tc>
        <w:tc>
          <w:p>
            <w:r>
              <w:t/>
            </w:r>
          </w:p>
        </w:tc>
      </w:tr>
      <w:tr>
        <w:tc>
          <w:p>
            <w:r>
              <w:t>SAFETY RESULTS</w:t>
            </w:r>
          </w:p>
        </w:tc>
        <w:tc>
          <w:p>
            <w:r>
              <w:t/>
            </w:r>
          </w:p>
        </w:tc>
      </w:tr>
      <w:tr>
        <w:tc>
          <w:p>
            <w:r>
              <w:t>CONCLUSION</w:t>
            </w:r>
          </w:p>
        </w:tc>
        <w:tc>
          <w:p>
            <w:r>
              <w:t/>
            </w:r>
          </w:p>
        </w:tc>
      </w:tr>
      <w:tr>
        <w:tc>
          <w:p>
            <w:r>
              <w:t>DATE OF THE REPORT:</w:t>
            </w:r>
          </w:p>
        </w:tc>
        <w:tc>
          <w:p>
            <w:r>
              <w:t/>
            </w:r>
          </w:p>
        </w:tc>
      </w:tr>
    </w:tbl>
    <w:p>
      <w:r>
        <w:cr/>
      </w:r>
    </w:p>
    <w:p>
      <w:pPr>
        <w:pStyle w:val="Heading1"/>
        <w:keepNext w:val="on"/>
        <w:ind w:left="1"/>
      </w:pPr>
      <w:r>
        <w:rPr>
          <w:rFonts w:ascii="Arial" w:hAnsi="Arial" w:cs="Arial" w:eastAsia="Arial"/>
          <w:b w:val="true"/>
          <w:sz w:val="26"/>
        </w:rPr>
        <w:t xml:space="preserve">3. </w:t>
        <w:t>TABLE OF CONTENTS</w:t>
      </w:r>
      <w:bookmarkStart w:name="_TABLE_OF_CONTENTS" w:id="1254"/>
    </w:p>
    <w:p>
      <w:fldSimple w:instr="TOC \h" w:dirty="true"/>
    </w:p>
    <w:p>
      <w:pPr>
        <w:pStyle w:val="Heading1"/>
        <w:keepNext w:val="on"/>
        <w:ind w:left="1"/>
      </w:pPr>
      <w:r>
        <w:rPr>
          <w:rFonts w:ascii="Arial" w:hAnsi="Arial" w:cs="Arial" w:eastAsia="Arial"/>
          <w:b w:val="true"/>
          <w:sz w:val="26"/>
        </w:rPr>
        <w:t xml:space="preserve">4. </w:t>
        <w:t>LIST OF ABBREVIATIONS &amp; DEFINITION OF TERMS</w:t>
      </w:r>
      <w:bookmarkStart w:name="_LIST_OF_ABBREVIATIONS_&amp;_DEFINITION_OF_TERMS" w:id="1255"/>
    </w:p>
    <w:tbl>
      <w:tblPr>
        <w:tblW w:w="0" w:type="auto"/>
        <w:tblBorders>
          <w:top w:val="single"/>
          <w:left w:val="single"/>
          <w:bottom w:val="single"/>
          <w:right w:val="single"/>
          <w:insideH w:val="single"/>
          <w:insideV w:val="single"/>
        </w:tblBorders>
      </w:tblPr>
      <w:tr>
        <w:tc>
          <w:p/>
          <w:p>
            <w:r>
              <w:rPr>
                <w:rFonts w:ascii="Arial" w:hAnsi="Arial" w:cs="Arial" w:eastAsia="Arial"/>
                <w:b w:val="true"/>
              </w:rPr>
              <w:t>Abbreviations</w:t>
            </w:r>
          </w:p>
        </w:tc>
        <w:tc>
          <w:p/>
          <w:p>
            <w:r>
              <w:rPr>
                <w:rFonts w:ascii="Arial" w:hAnsi="Arial" w:cs="Arial" w:eastAsia="Arial"/>
                <w:b w:val="true"/>
              </w:rPr>
              <w:t>Terms</w:t>
            </w:r>
          </w:p>
        </w:tc>
      </w:tr>
      <w:tr>
        <w:tc>
          <w:p/>
          <w:p>
            <w:r>
              <w:rPr>
                <w:rFonts w:ascii="Arial" w:hAnsi="Arial" w:cs="Arial" w:eastAsia="Arial"/>
              </w:rPr>
              <w:t>AE</w:t>
            </w:r>
          </w:p>
        </w:tc>
        <w:tc>
          <w:p/>
          <w:p>
            <w:r>
              <w:rPr>
                <w:rFonts w:ascii="Arial" w:hAnsi="Arial" w:cs="Arial" w:eastAsia="Arial"/>
              </w:rPr>
              <w:t>adverse event</w:t>
            </w:r>
          </w:p>
        </w:tc>
      </w:tr>
      <w:tr>
        <w:tc>
          <w:p/>
          <w:p>
            <w:r>
              <w:rPr>
                <w:rFonts w:ascii="Arial" w:hAnsi="Arial" w:cs="Arial" w:eastAsia="Arial"/>
              </w:rPr>
              <w:t>AED</w:t>
            </w:r>
          </w:p>
        </w:tc>
        <w:tc>
          <w:p/>
          <w:p>
            <w:r>
              <w:rPr>
                <w:rFonts w:ascii="Arial" w:hAnsi="Arial" w:cs="Arial" w:eastAsia="Arial"/>
              </w:rPr>
              <w:t>antiepileptic drug</w:t>
            </w:r>
          </w:p>
        </w:tc>
      </w:tr>
      <w:tr>
        <w:tc>
          <w:p/>
          <w:p>
            <w:r>
              <w:rPr>
                <w:rFonts w:ascii="Arial" w:hAnsi="Arial" w:cs="Arial" w:eastAsia="Arial"/>
              </w:rPr>
              <w:t>ALT</w:t>
            </w:r>
          </w:p>
        </w:tc>
        <w:tc>
          <w:p/>
          <w:p>
            <w:r>
              <w:rPr>
                <w:rFonts w:ascii="Arial" w:hAnsi="Arial" w:cs="Arial" w:eastAsia="Arial"/>
              </w:rPr>
              <w:t>alanine aminotransferase</w:t>
            </w:r>
          </w:p>
        </w:tc>
      </w:tr>
      <w:tr>
        <w:tc>
          <w:p/>
          <w:p>
            <w:r>
              <w:rPr>
                <w:rFonts w:ascii="Arial" w:hAnsi="Arial" w:cs="Arial" w:eastAsia="Arial"/>
              </w:rPr>
              <w:t>AST</w:t>
            </w:r>
          </w:p>
        </w:tc>
        <w:tc>
          <w:p/>
          <w:p>
            <w:r>
              <w:rPr>
                <w:rFonts w:ascii="Arial" w:hAnsi="Arial" w:cs="Arial" w:eastAsia="Arial"/>
              </w:rPr>
              <w:t>aspartate aminotransferase</w:t>
            </w:r>
          </w:p>
        </w:tc>
      </w:tr>
      <w:tr>
        <w:tc>
          <w:p/>
          <w:p>
            <w:r>
              <w:rPr>
                <w:rFonts w:ascii="Arial" w:hAnsi="Arial" w:cs="Arial" w:eastAsia="Arial"/>
              </w:rPr>
              <w:t>AUC</w:t>
            </w:r>
            <w:r>
              <w:rPr>
                <w:rFonts w:ascii="Arial" w:hAnsi="Arial" w:cs="Arial" w:eastAsia="Arial"/>
                <w:vertAlign w:val="superscript"/>
              </w:rPr>
              <w:t>(0-24)</w:t>
            </w:r>
          </w:p>
        </w:tc>
        <w:tc>
          <w:p/>
          <w:p>
            <w:r>
              <w:rPr>
                <w:rFonts w:ascii="Arial" w:hAnsi="Arial" w:cs="Arial" w:eastAsia="Arial"/>
              </w:rPr>
              <w:t>area under the concentration-time curve from 0 time to fixed time 24 hours</w:t>
            </w:r>
          </w:p>
        </w:tc>
      </w:tr>
      <w:tr>
        <w:tc>
          <w:p/>
          <w:p>
            <w:r>
              <w:rPr>
                <w:rFonts w:ascii="Arial" w:hAnsi="Arial" w:cs="Arial" w:eastAsia="Arial"/>
              </w:rPr>
              <w:t>AUC</w:t>
            </w:r>
            <w:r>
              <w:rPr>
                <w:rFonts w:ascii="Arial" w:hAnsi="Arial" w:cs="Arial" w:eastAsia="Arial"/>
                <w:vertAlign w:val="superscript"/>
              </w:rPr>
              <w:t>(0-inf)</w:t>
            </w:r>
            <w:r>
              <w:rPr>
                <w:rFonts w:ascii="Arial" w:hAnsi="Arial" w:cs="Arial" w:eastAsia="Arial"/>
              </w:rPr>
              <w:t xml:space="preserve"> time</w:t>
            </w:r>
          </w:p>
        </w:tc>
        <w:tc>
          <w:p/>
          <w:p>
            <w:r>
              <w:rPr>
                <w:rFonts w:ascii="Arial" w:hAnsi="Arial" w:cs="Arial" w:eastAsia="Arial"/>
              </w:rPr>
              <w:t>area under the concentration-time curve from 0 time extrapolated to infinity</w:t>
            </w:r>
          </w:p>
        </w:tc>
      </w:tr>
      <w:tr>
        <w:tc>
          <w:p/>
          <w:p>
            <w:r>
              <w:rPr>
                <w:rFonts w:ascii="Arial" w:hAnsi="Arial" w:cs="Arial" w:eastAsia="Arial"/>
              </w:rPr>
              <w:t>β-hCG</w:t>
            </w:r>
          </w:p>
        </w:tc>
        <w:tc>
          <w:p/>
          <w:p>
            <w:r>
              <w:rPr>
                <w:rFonts w:ascii="Arial" w:hAnsi="Arial" w:cs="Arial" w:eastAsia="Arial"/>
              </w:rPr>
              <w:t>beta human chorionic gonadotropin</w:t>
            </w:r>
          </w:p>
        </w:tc>
      </w:tr>
      <w:tr>
        <w:tc>
          <w:p/>
          <w:p>
            <w:r>
              <w:rPr>
                <w:rFonts w:ascii="Arial" w:hAnsi="Arial" w:cs="Arial" w:eastAsia="Arial"/>
              </w:rPr>
              <w:t>BMI</w:t>
            </w:r>
          </w:p>
        </w:tc>
        <w:tc>
          <w:p/>
          <w:p>
            <w:r>
              <w:rPr>
                <w:rFonts w:ascii="Arial" w:hAnsi="Arial" w:cs="Arial" w:eastAsia="Arial"/>
              </w:rPr>
              <w:t>body mass index</w:t>
            </w:r>
          </w:p>
        </w:tc>
      </w:tr>
      <w:tr>
        <w:tc>
          <w:p/>
          <w:p>
            <w:r>
              <w:rPr>
                <w:rFonts w:ascii="Arial" w:hAnsi="Arial" w:cs="Arial" w:eastAsia="Arial"/>
              </w:rPr>
              <w:t>BP</w:t>
            </w:r>
          </w:p>
        </w:tc>
        <w:tc>
          <w:p/>
          <w:p>
            <w:r>
              <w:rPr>
                <w:rFonts w:ascii="Arial" w:hAnsi="Arial" w:cs="Arial" w:eastAsia="Arial"/>
              </w:rPr>
              <w:t>blood pressure</w:t>
            </w:r>
          </w:p>
        </w:tc>
      </w:tr>
      <w:tr>
        <w:tc>
          <w:p/>
          <w:p>
            <w:r>
              <w:rPr>
                <w:rFonts w:ascii="Arial" w:hAnsi="Arial" w:cs="Arial" w:eastAsia="Arial"/>
              </w:rPr>
              <w:t>CFR</w:t>
            </w:r>
          </w:p>
        </w:tc>
        <w:tc>
          <w:p/>
          <w:p>
            <w:r>
              <w:rPr>
                <w:rFonts w:ascii="Arial" w:hAnsi="Arial" w:cs="Arial" w:eastAsia="Arial"/>
              </w:rPr>
              <w:t>Code of Federal Regulations</w:t>
            </w:r>
          </w:p>
        </w:tc>
      </w:tr>
      <w:tr>
        <w:tc>
          <w:p/>
          <w:p>
            <w:r>
              <w:rPr>
                <w:rFonts w:ascii="Arial" w:hAnsi="Arial" w:cs="Arial" w:eastAsia="Arial"/>
              </w:rPr>
              <w:t>CNS</w:t>
            </w:r>
          </w:p>
        </w:tc>
        <w:tc>
          <w:p/>
          <w:p>
            <w:r>
              <w:rPr>
                <w:rFonts w:ascii="Arial" w:hAnsi="Arial" w:cs="Arial" w:eastAsia="Arial"/>
              </w:rPr>
              <w:t>central nervous system</w:t>
            </w:r>
          </w:p>
        </w:tc>
      </w:tr>
      <w:tr>
        <w:tc>
          <w:p/>
          <w:p>
            <w:r>
              <w:rPr>
                <w:rFonts w:ascii="Arial" w:hAnsi="Arial" w:cs="Arial" w:eastAsia="Arial"/>
              </w:rPr>
              <w:t>CRA</w:t>
            </w:r>
          </w:p>
        </w:tc>
        <w:tc>
          <w:p/>
          <w:p>
            <w:r>
              <w:rPr>
                <w:rFonts w:ascii="Arial" w:hAnsi="Arial" w:cs="Arial" w:eastAsia="Arial"/>
              </w:rPr>
              <w:t>clinical research associate</w:t>
            </w:r>
          </w:p>
        </w:tc>
      </w:tr>
      <w:tr>
        <w:tc>
          <w:p/>
          <w:p>
            <w:r>
              <w:rPr>
                <w:rFonts w:ascii="Arial" w:hAnsi="Arial" w:cs="Arial" w:eastAsia="Arial"/>
              </w:rPr>
              <w:t>CRF</w:t>
            </w:r>
          </w:p>
        </w:tc>
        <w:tc>
          <w:p/>
          <w:p>
            <w:r>
              <w:rPr>
                <w:rFonts w:ascii="Arial" w:hAnsi="Arial" w:cs="Arial" w:eastAsia="Arial"/>
              </w:rPr>
              <w:t>case report form</w:t>
            </w:r>
          </w:p>
        </w:tc>
      </w:tr>
      <w:tr>
        <w:tc>
          <w:p/>
          <w:p>
            <w:r>
              <w:rPr>
                <w:rFonts w:ascii="Arial" w:hAnsi="Arial" w:cs="Arial" w:eastAsia="Arial"/>
              </w:rPr>
              <w:t>CRO</w:t>
            </w:r>
          </w:p>
        </w:tc>
        <w:tc>
          <w:p/>
          <w:p>
            <w:r>
              <w:rPr>
                <w:rFonts w:ascii="Arial" w:hAnsi="Arial" w:cs="Arial" w:eastAsia="Arial"/>
              </w:rPr>
              <w:t>contract research organization</w:t>
            </w:r>
          </w:p>
        </w:tc>
      </w:tr>
      <w:tr>
        <w:tc>
          <w:p/>
          <w:p>
            <w:r>
              <w:rPr>
                <w:rFonts w:ascii="Arial" w:hAnsi="Arial" w:cs="Arial" w:eastAsia="Arial"/>
              </w:rPr>
              <w:t>C-SSRS</w:t>
            </w:r>
          </w:p>
        </w:tc>
        <w:tc>
          <w:p/>
          <w:p>
            <w:r>
              <w:rPr>
                <w:rFonts w:ascii="Arial" w:hAnsi="Arial" w:cs="Arial" w:eastAsia="Arial"/>
              </w:rPr>
              <w:t>Columbia-Suicide Severity Rating Scale</w:t>
            </w:r>
          </w:p>
        </w:tc>
      </w:tr>
      <w:tr>
        <w:tc>
          <w:p/>
          <w:p>
            <w:r>
              <w:rPr>
                <w:rFonts w:ascii="Arial" w:hAnsi="Arial" w:cs="Arial" w:eastAsia="Arial"/>
              </w:rPr>
              <w:t>CV</w:t>
            </w:r>
          </w:p>
        </w:tc>
        <w:tc>
          <w:p/>
          <w:p>
            <w:r>
              <w:rPr>
                <w:rFonts w:ascii="Arial" w:hAnsi="Arial" w:cs="Arial" w:eastAsia="Arial"/>
              </w:rPr>
              <w:t>coefficient of variance</w:t>
            </w:r>
          </w:p>
        </w:tc>
      </w:tr>
      <w:tr>
        <w:tc>
          <w:p/>
          <w:p>
            <w:r>
              <w:rPr>
                <w:rFonts w:ascii="Arial" w:hAnsi="Arial" w:cs="Arial" w:eastAsia="Arial"/>
              </w:rPr>
              <w:t>ED</w:t>
            </w:r>
          </w:p>
        </w:tc>
        <w:tc>
          <w:p/>
          <w:p>
            <w:r>
              <w:rPr>
                <w:rFonts w:ascii="Arial" w:hAnsi="Arial" w:cs="Arial" w:eastAsia="Arial"/>
              </w:rPr>
              <w:t>Early Discontinuation (Visit)</w:t>
            </w:r>
          </w:p>
        </w:tc>
      </w:tr>
      <w:tr>
        <w:tc>
          <w:p/>
          <w:p>
            <w:r>
              <w:rPr>
                <w:rFonts w:ascii="Arial" w:hAnsi="Arial" w:cs="Arial" w:eastAsia="Arial"/>
              </w:rPr>
              <w:t>EEG-IPS</w:t>
            </w:r>
          </w:p>
        </w:tc>
        <w:tc>
          <w:p/>
          <w:p>
            <w:r>
              <w:rPr>
                <w:rFonts w:ascii="Arial" w:hAnsi="Arial" w:cs="Arial" w:eastAsia="Arial"/>
              </w:rPr>
              <w:t>electroencephalogram intermittent photic stimulation</w:t>
            </w:r>
          </w:p>
        </w:tc>
      </w:tr>
      <w:tr>
        <w:tc>
          <w:p/>
          <w:p>
            <w:r>
              <w:rPr>
                <w:rFonts w:ascii="Arial" w:hAnsi="Arial" w:cs="Arial" w:eastAsia="Arial"/>
              </w:rPr>
              <w:t>GABA</w:t>
            </w:r>
          </w:p>
        </w:tc>
        <w:tc>
          <w:p/>
          <w:p>
            <w:r>
              <w:rPr>
                <w:rFonts w:ascii="Arial" w:hAnsi="Arial" w:cs="Arial" w:eastAsia="Arial"/>
              </w:rPr>
              <w:t>γ-aminobutyric acid</w:t>
            </w:r>
          </w:p>
        </w:tc>
      </w:tr>
      <w:tr>
        <w:tc>
          <w:p/>
          <w:p>
            <w:r>
              <w:rPr>
                <w:rFonts w:ascii="Arial" w:hAnsi="Arial" w:cs="Arial" w:eastAsia="Arial"/>
              </w:rPr>
              <w:t>GM</w:t>
            </w:r>
          </w:p>
        </w:tc>
        <w:tc>
          <w:p/>
          <w:p>
            <w:r>
              <w:rPr>
                <w:rFonts w:ascii="Arial" w:hAnsi="Arial" w:cs="Arial" w:eastAsia="Arial"/>
              </w:rPr>
              <w:t>geometric mean</w:t>
            </w:r>
          </w:p>
        </w:tc>
      </w:tr>
      <w:tr>
        <w:tc>
          <w:p/>
          <w:p>
            <w:r>
              <w:rPr>
                <w:rFonts w:ascii="Arial" w:hAnsi="Arial" w:cs="Arial" w:eastAsia="Arial"/>
              </w:rPr>
              <w:t>hCG</w:t>
            </w:r>
          </w:p>
        </w:tc>
        <w:tc>
          <w:p/>
          <w:p>
            <w:r>
              <w:rPr>
                <w:rFonts w:ascii="Arial" w:hAnsi="Arial" w:cs="Arial" w:eastAsia="Arial"/>
              </w:rPr>
              <w:t>human chorionic gonadotropin</w:t>
            </w:r>
          </w:p>
        </w:tc>
      </w:tr>
      <w:tr>
        <w:tc>
          <w:p/>
          <w:p>
            <w:r>
              <w:rPr>
                <w:rFonts w:ascii="Arial" w:hAnsi="Arial" w:cs="Arial" w:eastAsia="Arial"/>
              </w:rPr>
              <w:t>ICF</w:t>
            </w:r>
          </w:p>
        </w:tc>
        <w:tc>
          <w:p/>
          <w:p>
            <w:r>
              <w:rPr>
                <w:rFonts w:ascii="Arial" w:hAnsi="Arial" w:cs="Arial" w:eastAsia="Arial"/>
              </w:rPr>
              <w:t>informed consent form</w:t>
            </w:r>
          </w:p>
        </w:tc>
      </w:tr>
      <w:tr>
        <w:tc>
          <w:p/>
          <w:p>
            <w:r>
              <w:rPr>
                <w:rFonts w:ascii="Arial" w:hAnsi="Arial" w:cs="Arial" w:eastAsia="Arial"/>
              </w:rPr>
              <w:t>ICH</w:t>
            </w:r>
          </w:p>
        </w:tc>
        <w:tc>
          <w:p/>
          <w:p>
            <w:r>
              <w:rPr>
                <w:rFonts w:ascii="Arial" w:hAnsi="Arial" w:cs="Arial" w:eastAsia="Arial"/>
              </w:rPr>
              <w:t>International Council for Harmonisation of Technical Requirements for Pharmaceuticals for Human Use</w:t>
            </w:r>
          </w:p>
        </w:tc>
      </w:tr>
      <w:tr>
        <w:tc>
          <w:p/>
          <w:p>
            <w:r>
              <w:rPr>
                <w:rFonts w:ascii="Arial" w:hAnsi="Arial" w:cs="Arial" w:eastAsia="Arial"/>
              </w:rPr>
              <w:t>IPS</w:t>
            </w:r>
          </w:p>
        </w:tc>
        <w:tc>
          <w:p/>
          <w:p>
            <w:r>
              <w:rPr>
                <w:rFonts w:ascii="Arial" w:hAnsi="Arial" w:cs="Arial" w:eastAsia="Arial"/>
              </w:rPr>
              <w:t>intermittent photic stimulation</w:t>
            </w:r>
          </w:p>
        </w:tc>
      </w:tr>
      <w:tr>
        <w:tc>
          <w:p/>
          <w:p>
            <w:r>
              <w:rPr>
                <w:rFonts w:ascii="Arial" w:hAnsi="Arial" w:cs="Arial" w:eastAsia="Arial"/>
              </w:rPr>
              <w:t>IRB</w:t>
            </w:r>
          </w:p>
        </w:tc>
        <w:tc>
          <w:p/>
          <w:p>
            <w:r>
              <w:rPr>
                <w:rFonts w:ascii="Arial" w:hAnsi="Arial" w:cs="Arial" w:eastAsia="Arial"/>
              </w:rPr>
              <w:t>Institutional Review Board</w:t>
            </w:r>
          </w:p>
        </w:tc>
      </w:tr>
      <w:tr>
        <w:tc>
          <w:p/>
          <w:p>
            <w:r>
              <w:rPr>
                <w:rFonts w:ascii="Arial" w:hAnsi="Arial" w:cs="Arial" w:eastAsia="Arial"/>
              </w:rPr>
              <w:t>LNH</w:t>
            </w:r>
          </w:p>
        </w:tc>
        <w:tc>
          <w:p/>
          <w:p>
            <w:r>
              <w:rPr>
                <w:rFonts w:ascii="Arial" w:hAnsi="Arial" w:cs="Arial" w:eastAsia="Arial"/>
              </w:rPr>
              <w:t>low/normal/high</w:t>
            </w:r>
          </w:p>
        </w:tc>
      </w:tr>
      <w:tr>
        <w:tc>
          <w:p/>
          <w:p>
            <w:r>
              <w:rPr>
                <w:rFonts w:ascii="Arial" w:hAnsi="Arial" w:cs="Arial" w:eastAsia="Arial"/>
              </w:rPr>
              <w:t>LS</w:t>
            </w:r>
          </w:p>
        </w:tc>
        <w:tc>
          <w:p/>
          <w:p>
            <w:r>
              <w:rPr>
                <w:rFonts w:ascii="Arial" w:hAnsi="Arial" w:cs="Arial" w:eastAsia="Arial"/>
              </w:rPr>
              <w:t>least squares</w:t>
            </w:r>
          </w:p>
        </w:tc>
      </w:tr>
      <w:tr>
        <w:tc>
          <w:p/>
          <w:p>
            <w:r>
              <w:rPr>
                <w:rFonts w:ascii="Arial" w:hAnsi="Arial" w:cs="Arial" w:eastAsia="Arial"/>
              </w:rPr>
              <w:t>M1</w:t>
            </w:r>
          </w:p>
        </w:tc>
        <w:tc>
          <w:p/>
          <w:p>
            <w:r>
              <w:rPr>
                <w:rFonts w:ascii="Arial" w:hAnsi="Arial" w:cs="Arial" w:eastAsia="Arial"/>
              </w:rPr>
              <w:t>E2730 N-acetyl metabolite</w:t>
            </w:r>
          </w:p>
        </w:tc>
      </w:tr>
      <w:tr>
        <w:tc>
          <w:p/>
          <w:p>
            <w:r>
              <w:rPr>
                <w:rFonts w:ascii="Arial" w:hAnsi="Arial" w:cs="Arial" w:eastAsia="Arial"/>
              </w:rPr>
              <w:t>MedDRA</w:t>
            </w:r>
          </w:p>
        </w:tc>
        <w:tc>
          <w:p/>
          <w:p>
            <w:r>
              <w:rPr>
                <w:rFonts w:ascii="Arial" w:hAnsi="Arial" w:cs="Arial" w:eastAsia="Arial"/>
              </w:rPr>
              <w:t>Medical Dictionary for Regulatory Activities</w:t>
            </w:r>
          </w:p>
        </w:tc>
      </w:tr>
      <w:tr>
        <w:tc>
          <w:p/>
          <w:p>
            <w:r>
              <w:rPr>
                <w:rFonts w:ascii="Arial" w:hAnsi="Arial" w:cs="Arial" w:eastAsia="Arial"/>
              </w:rPr>
              <w:t>Max</w:t>
            </w:r>
          </w:p>
        </w:tc>
        <w:tc>
          <w:p/>
          <w:p>
            <w:r>
              <w:rPr>
                <w:rFonts w:ascii="Arial" w:hAnsi="Arial" w:cs="Arial" w:eastAsia="Arial"/>
              </w:rPr>
              <w:t>maximum</w:t>
            </w:r>
          </w:p>
        </w:tc>
      </w:tr>
      <w:tr>
        <w:tc>
          <w:p/>
          <w:p>
            <w:r>
              <w:rPr>
                <w:rFonts w:ascii="Arial" w:hAnsi="Arial" w:cs="Arial" w:eastAsia="Arial"/>
              </w:rPr>
              <w:t>Min</w:t>
            </w:r>
          </w:p>
        </w:tc>
        <w:tc>
          <w:p/>
          <w:p>
            <w:r>
              <w:rPr>
                <w:rFonts w:ascii="Arial" w:hAnsi="Arial" w:cs="Arial" w:eastAsia="Arial"/>
              </w:rPr>
              <w:t>minimum</w:t>
            </w:r>
          </w:p>
        </w:tc>
      </w:tr>
      <w:tr>
        <w:tc>
          <w:p/>
          <w:p>
            <w:r>
              <w:rPr>
                <w:rFonts w:ascii="Arial" w:hAnsi="Arial" w:cs="Arial" w:eastAsia="Arial"/>
              </w:rPr>
              <w:t>n/a</w:t>
            </w:r>
          </w:p>
        </w:tc>
        <w:tc>
          <w:p/>
          <w:p>
            <w:r>
              <w:rPr>
                <w:rFonts w:ascii="Arial" w:hAnsi="Arial" w:cs="Arial" w:eastAsia="Arial"/>
              </w:rPr>
              <w:t>not applicable</w:t>
            </w:r>
          </w:p>
        </w:tc>
      </w:tr>
      <w:tr>
        <w:tc>
          <w:p/>
          <w:p>
            <w:r>
              <w:rPr>
                <w:rFonts w:ascii="Arial" w:hAnsi="Arial" w:cs="Arial" w:eastAsia="Arial"/>
              </w:rPr>
              <w:t>PD</w:t>
            </w:r>
          </w:p>
        </w:tc>
        <w:tc>
          <w:p/>
          <w:p>
            <w:r>
              <w:rPr>
                <w:rFonts w:ascii="Arial" w:hAnsi="Arial" w:cs="Arial" w:eastAsia="Arial"/>
              </w:rPr>
              <w:t>pharmacodynamic</w:t>
            </w:r>
          </w:p>
        </w:tc>
      </w:tr>
      <w:tr>
        <w:tc>
          <w:p/>
          <w:p>
            <w:r>
              <w:rPr>
                <w:rFonts w:ascii="Arial" w:hAnsi="Arial" w:cs="Arial" w:eastAsia="Arial"/>
              </w:rPr>
              <w:t>PGx</w:t>
            </w:r>
          </w:p>
        </w:tc>
        <w:tc>
          <w:p/>
          <w:p>
            <w:r>
              <w:rPr>
                <w:rFonts w:ascii="Arial" w:hAnsi="Arial" w:cs="Arial" w:eastAsia="Arial"/>
              </w:rPr>
              <w:t>pharmacogenomic</w:t>
            </w:r>
          </w:p>
        </w:tc>
      </w:tr>
      <w:tr>
        <w:tc>
          <w:p/>
          <w:p>
            <w:r>
              <w:rPr>
                <w:rFonts w:ascii="Arial" w:hAnsi="Arial" w:cs="Arial" w:eastAsia="Arial"/>
              </w:rPr>
              <w:t>PI</w:t>
            </w:r>
          </w:p>
        </w:tc>
        <w:tc>
          <w:p/>
          <w:p>
            <w:r>
              <w:rPr>
                <w:rFonts w:ascii="Arial" w:hAnsi="Arial" w:cs="Arial" w:eastAsia="Arial"/>
              </w:rPr>
              <w:t>principal investigator</w:t>
            </w:r>
          </w:p>
        </w:tc>
      </w:tr>
      <w:tr>
        <w:tc>
          <w:p/>
          <w:p>
            <w:r>
              <w:rPr>
                <w:rFonts w:ascii="Arial" w:hAnsi="Arial" w:cs="Arial" w:eastAsia="Arial"/>
              </w:rPr>
              <w:t>PK</w:t>
            </w:r>
          </w:p>
        </w:tc>
        <w:tc>
          <w:p/>
          <w:p>
            <w:r>
              <w:rPr>
                <w:rFonts w:ascii="Arial" w:hAnsi="Arial" w:cs="Arial" w:eastAsia="Arial"/>
              </w:rPr>
              <w:t>pharmacokinetics</w:t>
            </w:r>
          </w:p>
        </w:tc>
      </w:tr>
      <w:tr>
        <w:tc>
          <w:p/>
          <w:p>
            <w:r>
              <w:rPr>
                <w:rFonts w:ascii="Arial" w:hAnsi="Arial" w:cs="Arial" w:eastAsia="Arial"/>
              </w:rPr>
              <w:t>POC</w:t>
            </w:r>
          </w:p>
        </w:tc>
        <w:tc>
          <w:p/>
          <w:p>
            <w:r>
              <w:rPr>
                <w:rFonts w:ascii="Arial" w:hAnsi="Arial" w:cs="Arial" w:eastAsia="Arial"/>
              </w:rPr>
              <w:t>proof-of-concept</w:t>
            </w:r>
          </w:p>
        </w:tc>
      </w:tr>
      <w:tr>
        <w:tc>
          <w:p/>
          <w:p>
            <w:r>
              <w:rPr>
                <w:rFonts w:ascii="Arial" w:hAnsi="Arial" w:cs="Arial" w:eastAsia="Arial"/>
              </w:rPr>
              <w:t>PPR</w:t>
            </w:r>
          </w:p>
        </w:tc>
        <w:tc>
          <w:p/>
          <w:p>
            <w:r>
              <w:rPr>
                <w:rFonts w:ascii="Arial" w:hAnsi="Arial" w:cs="Arial" w:eastAsia="Arial"/>
              </w:rPr>
              <w:t>photoparoxysmal response</w:t>
            </w:r>
          </w:p>
        </w:tc>
      </w:tr>
      <w:tr>
        <w:tc>
          <w:p/>
          <w:p>
            <w:r>
              <w:rPr>
                <w:rFonts w:ascii="Arial" w:hAnsi="Arial" w:cs="Arial" w:eastAsia="Arial"/>
              </w:rPr>
              <w:t>PT</w:t>
            </w:r>
          </w:p>
        </w:tc>
        <w:tc>
          <w:p/>
          <w:p>
            <w:r>
              <w:rPr>
                <w:rFonts w:ascii="Arial" w:hAnsi="Arial" w:cs="Arial" w:eastAsia="Arial"/>
              </w:rPr>
              <w:t>preferred term</w:t>
            </w:r>
          </w:p>
        </w:tc>
      </w:tr>
      <w:tr>
        <w:tc>
          <w:p/>
          <w:p>
            <w:r>
              <w:rPr>
                <w:rFonts w:ascii="Arial" w:hAnsi="Arial" w:cs="Arial" w:eastAsia="Arial"/>
              </w:rPr>
              <w:t>QTc</w:t>
            </w:r>
          </w:p>
        </w:tc>
        <w:tc>
          <w:p/>
          <w:p>
            <w:r>
              <w:rPr>
                <w:rFonts w:ascii="Arial" w:hAnsi="Arial" w:cs="Arial" w:eastAsia="Arial"/>
              </w:rPr>
              <w:t>corrected QT interval</w:t>
            </w:r>
          </w:p>
        </w:tc>
      </w:tr>
      <w:tr>
        <w:tc>
          <w:p/>
          <w:p>
            <w:r>
              <w:rPr>
                <w:rFonts w:ascii="Arial" w:hAnsi="Arial" w:cs="Arial" w:eastAsia="Arial"/>
              </w:rPr>
              <w:t>QTcF</w:t>
            </w:r>
          </w:p>
        </w:tc>
        <w:tc>
          <w:p/>
          <w:p>
            <w:r>
              <w:rPr>
                <w:rFonts w:ascii="Arial" w:hAnsi="Arial" w:cs="Arial" w:eastAsia="Arial"/>
              </w:rPr>
              <w:t>QT interval corrected for heart rate using Fridericia’s formula</w:t>
            </w:r>
          </w:p>
        </w:tc>
      </w:tr>
      <w:tr>
        <w:tc>
          <w:p/>
          <w:p>
            <w:r>
              <w:rPr>
                <w:rFonts w:ascii="Arial" w:hAnsi="Arial" w:cs="Arial" w:eastAsia="Arial"/>
              </w:rPr>
              <w:t>SAE</w:t>
            </w:r>
          </w:p>
        </w:tc>
        <w:tc>
          <w:p/>
          <w:p>
            <w:r>
              <w:rPr>
                <w:rFonts w:ascii="Arial" w:hAnsi="Arial" w:cs="Arial" w:eastAsia="Arial"/>
              </w:rPr>
              <w:t>serious adverse event</w:t>
            </w:r>
          </w:p>
        </w:tc>
      </w:tr>
      <w:tr>
        <w:tc>
          <w:p/>
          <w:p>
            <w:r>
              <w:rPr>
                <w:rFonts w:ascii="Arial" w:hAnsi="Arial" w:cs="Arial" w:eastAsia="Arial"/>
              </w:rPr>
              <w:t>SAD</w:t>
            </w:r>
          </w:p>
        </w:tc>
        <w:tc>
          <w:p/>
          <w:p>
            <w:r>
              <w:rPr>
                <w:rFonts w:ascii="Arial" w:hAnsi="Arial" w:cs="Arial" w:eastAsia="Arial"/>
              </w:rPr>
              <w:t>single ascending dose</w:t>
            </w:r>
          </w:p>
        </w:tc>
      </w:tr>
      <w:tr>
        <w:tc>
          <w:p/>
          <w:p>
            <w:r>
              <w:rPr>
                <w:rFonts w:ascii="Arial" w:hAnsi="Arial" w:cs="Arial" w:eastAsia="Arial"/>
              </w:rPr>
              <w:t>SAP</w:t>
            </w:r>
          </w:p>
        </w:tc>
        <w:tc>
          <w:p/>
          <w:p>
            <w:r>
              <w:rPr>
                <w:rFonts w:ascii="Arial" w:hAnsi="Arial" w:cs="Arial" w:eastAsia="Arial"/>
              </w:rPr>
              <w:t>statistical analysis plan</w:t>
            </w:r>
          </w:p>
        </w:tc>
      </w:tr>
      <w:tr>
        <w:tc>
          <w:p/>
          <w:p>
            <w:r>
              <w:rPr>
                <w:rFonts w:ascii="Arial" w:hAnsi="Arial" w:cs="Arial" w:eastAsia="Arial"/>
              </w:rPr>
              <w:t>SOC</w:t>
            </w:r>
          </w:p>
        </w:tc>
        <w:tc>
          <w:p/>
          <w:p>
            <w:r>
              <w:rPr>
                <w:rFonts w:ascii="Arial" w:hAnsi="Arial" w:cs="Arial" w:eastAsia="Arial"/>
              </w:rPr>
              <w:t>system organ class</w:t>
            </w:r>
          </w:p>
        </w:tc>
      </w:tr>
      <w:tr>
        <w:tc>
          <w:p/>
          <w:p>
            <w:r>
              <w:rPr>
                <w:rFonts w:ascii="Arial" w:hAnsi="Arial" w:cs="Arial" w:eastAsia="Arial"/>
              </w:rPr>
              <w:t>SOP</w:t>
            </w:r>
          </w:p>
        </w:tc>
        <w:tc>
          <w:p/>
          <w:p>
            <w:r>
              <w:rPr>
                <w:rFonts w:ascii="Arial" w:hAnsi="Arial" w:cs="Arial" w:eastAsia="Arial"/>
              </w:rPr>
              <w:t>standard operating procedure</w:t>
            </w:r>
          </w:p>
        </w:tc>
      </w:tr>
      <w:tr>
        <w:tc>
          <w:p/>
          <w:p>
            <w:r>
              <w:rPr>
                <w:rFonts w:ascii="Arial" w:hAnsi="Arial" w:cs="Arial" w:eastAsia="Arial"/>
              </w:rPr>
              <w:t>SPR</w:t>
            </w:r>
          </w:p>
        </w:tc>
        <w:tc>
          <w:p/>
          <w:p>
            <w:r>
              <w:rPr>
                <w:rFonts w:ascii="Arial" w:hAnsi="Arial" w:cs="Arial" w:eastAsia="Arial"/>
              </w:rPr>
              <w:t>standardized photosensitivity response</w:t>
            </w:r>
          </w:p>
        </w:tc>
      </w:tr>
      <w:tr>
        <w:tc>
          <w:p/>
          <w:p>
            <w:r>
              <w:rPr>
                <w:rFonts w:ascii="Arial" w:hAnsi="Arial" w:cs="Arial" w:eastAsia="Arial"/>
              </w:rPr>
              <w:t>TEAE</w:t>
            </w:r>
          </w:p>
        </w:tc>
        <w:tc>
          <w:p/>
          <w:p>
            <w:r>
              <w:rPr>
                <w:rFonts w:ascii="Arial" w:hAnsi="Arial" w:cs="Arial" w:eastAsia="Arial"/>
              </w:rPr>
              <w:t>treatment-emergent adverse event</w:t>
            </w:r>
          </w:p>
        </w:tc>
      </w:tr>
      <w:tr>
        <w:tc>
          <w:p/>
          <w:p>
            <w:r>
              <w:rPr>
                <w:rFonts w:ascii="Arial" w:hAnsi="Arial" w:cs="Arial" w:eastAsia="Arial"/>
              </w:rPr>
              <w:t>TEMAV</w:t>
            </w:r>
          </w:p>
        </w:tc>
        <w:tc>
          <w:p/>
          <w:p>
            <w:r>
              <w:rPr>
                <w:rFonts w:ascii="Arial" w:hAnsi="Arial" w:cs="Arial" w:eastAsia="Arial"/>
              </w:rPr>
              <w:t>treatment-emergent markedly abnormal laboratory value</w:t>
            </w:r>
          </w:p>
        </w:tc>
      </w:tr>
      <w:tr>
        <w:tc>
          <w:p/>
          <w:p>
            <w:r>
              <w:rPr>
                <w:rFonts w:ascii="Arial" w:hAnsi="Arial" w:cs="Arial" w:eastAsia="Arial"/>
              </w:rPr>
              <w:t>t</w:t>
            </w:r>
            <w:r>
              <w:rPr>
                <w:rFonts w:ascii="Arial" w:hAnsi="Arial" w:cs="Arial" w:eastAsia="Arial"/>
                <w:vertAlign w:val="superscript"/>
              </w:rPr>
              <w:t>1/2</w:t>
            </w:r>
          </w:p>
        </w:tc>
        <w:tc>
          <w:p/>
          <w:p>
            <w:r>
              <w:rPr>
                <w:rFonts w:ascii="Arial" w:hAnsi="Arial" w:cs="Arial" w:eastAsia="Arial"/>
              </w:rPr>
              <w:t>terminal elimination phase half-life</w:t>
            </w:r>
          </w:p>
        </w:tc>
      </w:tr>
      <w:tr>
        <w:tc>
          <w:p/>
          <w:p>
            <w:r>
              <w:rPr>
                <w:rFonts w:ascii="Arial" w:hAnsi="Arial" w:cs="Arial" w:eastAsia="Arial"/>
              </w:rPr>
              <w:t>t</w:t>
            </w:r>
            <w:r>
              <w:rPr>
                <w:rFonts w:ascii="Arial" w:hAnsi="Arial" w:cs="Arial" w:eastAsia="Arial"/>
                <w:vertAlign w:val="superscript"/>
              </w:rPr>
              <w:t>max</w:t>
            </w:r>
          </w:p>
        </w:tc>
        <w:tc>
          <w:p/>
          <w:p>
            <w:r>
              <w:rPr>
                <w:rFonts w:ascii="Arial" w:hAnsi="Arial" w:cs="Arial" w:eastAsia="Arial"/>
              </w:rPr>
              <w:t>time at which the highest drug concentration occurs</w:t>
            </w:r>
          </w:p>
        </w:tc>
      </w:tr>
      <w:tr>
        <w:tc>
          <w:p/>
          <w:p>
            <w:r>
              <w:rPr>
                <w:rFonts w:ascii="Arial" w:hAnsi="Arial" w:cs="Arial" w:eastAsia="Arial"/>
              </w:rPr>
              <w:t>VAS</w:t>
            </w:r>
          </w:p>
        </w:tc>
        <w:tc>
          <w:p/>
          <w:p>
            <w:r>
              <w:rPr>
                <w:rFonts w:ascii="Arial" w:hAnsi="Arial" w:cs="Arial" w:eastAsia="Arial"/>
              </w:rPr>
              <w:t>Visual Analogue Scale</w:t>
            </w:r>
          </w:p>
        </w:tc>
      </w:tr>
    </w:tbl>
    <w:p>
      <w:r>
        <w:cr/>
      </w:r>
    </w:p>
    <w:p>
      <w:pPr>
        <w:pStyle w:val="Heading1"/>
        <w:keepNext w:val="on"/>
        <w:ind w:left="1"/>
      </w:pPr>
      <w:r>
        <w:rPr>
          <w:rFonts w:ascii="Arial" w:hAnsi="Arial" w:cs="Arial" w:eastAsia="Arial"/>
          <w:b w:val="true"/>
          <w:sz w:val="26"/>
        </w:rPr>
        <w:t xml:space="preserve">5. </w:t>
        <w:t>ETHICS AND REGULATORY APPROVAL</w:t>
      </w:r>
      <w:bookmarkStart w:name="_ETHICS_AND_REGULATORY_APPROVAL" w:id="1256"/>
    </w:p>
    <w:p>
      <w:pPr>
        <w:pStyle w:val="Heading3"/>
        <w:keepNext w:val="on"/>
        <w:ind w:left="2"/>
      </w:pPr>
      <w:r>
        <w:rPr>
          <w:rFonts w:ascii="Arial" w:hAnsi="Arial" w:cs="Arial" w:eastAsia="Arial"/>
          <w:b w:val="true"/>
          <w:color w:val="ffc800"/>
          <w:sz w:val="24"/>
        </w:rPr>
        <w:t xml:space="preserve">  5.1 </w:t>
        <w:t>INDEPENDENT ETHICS COMMITTEE APPROVAL</w:t>
      </w:r>
      <w:bookmarkStart w:name="_INDEPENDENT_ETHICS_COMMITTEE_APPROVAL" w:id="1257"/>
    </w:p>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2C791C39" w14:textId="77777777" w:rsidR="0042752C" w:rsidRPr="009420B0" w:rsidRDefault="0042752C" w:rsidP="0042752C">
      <w:pPr>
        <w:rPr>
          <w:rFonts w:ascii="Times New Roman" w:hAnsi="Times New Roman"/>
        </w:rPr>
      </w:pPr>
      <w:r w:rsidRPr="009420B0">
        <w:rPr>
          <w:rFonts w:ascii="Arial" w:hAnsi="Arial" w:cs="Arial" w:eastAsia="Arial"/>
        </w:rPr>
        <w:t>The study protocol and all its amendments, and the patient information sheet(s) were reviewed and approved by the appropriate independent ethics committees as detailed in table one below.</w:t>
      </w:r>
    </w:p>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5269173F" w14:textId="77777777" w:rsidR="0042752C" w:rsidRPr="009420B0" w:rsidRDefault="0042752C" w:rsidP="0042752C">
      <w:pPr>
        <w:rPr>
          <w:rFonts w:ascii="Times New Roman" w:hAnsi="Times New Roman"/>
          <w:b/>
        </w:rPr>
      </w:pPr>
      <w:r w:rsidRPr="009420B0">
        <w:rPr>
          <w:rFonts w:ascii="Arial" w:hAnsi="Arial" w:cs="Arial" w:eastAsia="Arial"/>
          <w:b/>
        </w:rPr>
        <w:t>Table I:</w:t>
      </w:r>
      <w:r w:rsidRPr="009420B0">
        <w:rPr>
          <w:rFonts w:ascii="Arial" w:hAnsi="Arial" w:cs="Arial" w:eastAsia="Arial"/>
          <w:b/>
        </w:rPr>
        <w:tab/>
        <w:t>Ethics committees</w:t>
      </w:r>
    </w:p>
    <w:tbl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2880"/>
        <w:gridCol w:w="2880"/>
      </w:tblGrid>
      <w:tr w:rsidR="0042752C" w:rsidRPr="009420B0" w14:paraId="24B691E1" w14:textId="77777777" w:rsidTr="00776927">
        <w:tc>
          <w:tcPr>
            <w:tcW w:w="2988" w:type="dxa"/>
          </w:tcPr>
          <w:p w14:paraId="33573248" w14:textId="77777777" w:rsidR="0042752C" w:rsidRPr="009420B0" w:rsidRDefault="0042752C" w:rsidP="00776927">
            <w:pPr>
              <w:rPr>
                <w:rFonts w:ascii="Times New Roman" w:hAnsi="Times New Roman"/>
              </w:rPr>
            </w:pPr>
            <w:r w:rsidRPr="009420B0">
              <w:rPr>
                <w:rFonts w:ascii="Arial" w:hAnsi="Arial" w:cs="Arial" w:eastAsia="Arial"/>
              </w:rPr>
              <w:t>Centre name and number</w:t>
            </w:r>
          </w:p>
          <w:p w14:paraId="3330B379" w14:textId="77777777" w:rsidR="0042752C" w:rsidRPr="009420B0" w:rsidRDefault="0042752C" w:rsidP="00776927">
            <w:pPr>
              <w:rPr>
                <w:rFonts w:ascii="Times New Roman" w:hAnsi="Times New Roman"/>
              </w:rPr>
            </w:pPr>
          </w:p>
        </w:tc>
        <w:tc>
          <w:tcPr>
            <w:tcW w:w="2880" w:type="dxa"/>
          </w:tcPr>
          <w:p w14:paraId="6E61EF16" w14:textId="77777777" w:rsidR="0042752C" w:rsidRPr="009420B0" w:rsidRDefault="0042752C" w:rsidP="00776927">
            <w:pPr>
              <w:rPr>
                <w:rFonts w:ascii="Times New Roman" w:hAnsi="Times New Roman"/>
              </w:rPr>
            </w:pPr>
          </w:p>
        </w:tc>
        <w:tc>
          <w:tcPr>
            <w:tcW w:w="2880" w:type="dxa"/>
          </w:tcPr>
          <w:p w14:paraId="3E1E1FCB" w14:textId="77777777" w:rsidR="0042752C" w:rsidRPr="009420B0" w:rsidRDefault="0042752C" w:rsidP="00776927">
            <w:pPr>
              <w:rPr>
                <w:rFonts w:ascii="Times New Roman" w:hAnsi="Times New Roman"/>
              </w:rPr>
            </w:pPr>
          </w:p>
        </w:tc>
      </w:tr>
      <w:tr w:rsidR="0042752C" w:rsidRPr="009420B0" w14:paraId="6422F845" w14:textId="77777777" w:rsidTr="00776927">
        <w:tc>
          <w:tcPr>
            <w:tcW w:w="2988" w:type="dxa"/>
          </w:tcPr>
          <w:p w14:paraId="0B072422" w14:textId="77777777" w:rsidR="0042752C" w:rsidRPr="009420B0" w:rsidRDefault="0042752C" w:rsidP="00776927">
            <w:pPr>
              <w:rPr>
                <w:rFonts w:ascii="Times New Roman" w:hAnsi="Times New Roman"/>
              </w:rPr>
            </w:pPr>
            <w:r w:rsidRPr="009420B0">
              <w:rPr>
                <w:rFonts w:ascii="Arial" w:hAnsi="Arial" w:cs="Arial" w:eastAsia="Arial"/>
              </w:rPr>
              <w:t>Investigator</w:t>
            </w:r>
          </w:p>
          <w:p w14:paraId="2C01D317" w14:textId="77777777" w:rsidR="0042752C" w:rsidRPr="009420B0" w:rsidRDefault="0042752C" w:rsidP="00776927">
            <w:pPr>
              <w:rPr>
                <w:rFonts w:ascii="Times New Roman" w:hAnsi="Times New Roman"/>
              </w:rPr>
            </w:pPr>
          </w:p>
        </w:tc>
        <w:tc>
          <w:tcPr>
            <w:tcW w:w="2880" w:type="dxa"/>
          </w:tcPr>
          <w:p w14:paraId="5D0BEFAC" w14:textId="77777777" w:rsidR="0042752C" w:rsidRPr="009420B0" w:rsidRDefault="0042752C" w:rsidP="00776927">
            <w:pPr>
              <w:rPr>
                <w:rFonts w:ascii="Times New Roman" w:hAnsi="Times New Roman"/>
              </w:rPr>
            </w:pPr>
          </w:p>
        </w:tc>
        <w:tc>
          <w:tcPr>
            <w:tcW w:w="2880" w:type="dxa"/>
          </w:tcPr>
          <w:p w14:paraId="2DF67CEA" w14:textId="77777777" w:rsidR="0042752C" w:rsidRPr="009420B0" w:rsidRDefault="0042752C" w:rsidP="00776927">
            <w:pPr>
              <w:rPr>
                <w:rFonts w:ascii="Times New Roman" w:hAnsi="Times New Roman"/>
              </w:rPr>
            </w:pPr>
          </w:p>
        </w:tc>
      </w:tr>
      <w:tr w:rsidR="0042752C" w:rsidRPr="009420B0" w14:paraId="7F16CF45" w14:textId="77777777" w:rsidTr="00776927">
        <w:tc>
          <w:tcPr>
            <w:tcW w:w="2988" w:type="dxa"/>
          </w:tcPr>
          <w:p w14:paraId="2C9B520C" w14:textId="77777777" w:rsidR="0042752C" w:rsidRPr="009420B0" w:rsidRDefault="0042752C" w:rsidP="00776927">
            <w:pPr>
              <w:rPr>
                <w:rFonts w:ascii="Times New Roman" w:hAnsi="Times New Roman"/>
              </w:rPr>
            </w:pPr>
            <w:r w:rsidRPr="009420B0">
              <w:rPr>
                <w:rFonts w:ascii="Arial" w:hAnsi="Arial" w:cs="Arial" w:eastAsia="Arial"/>
              </w:rPr>
              <w:t>Ethics committee</w:t>
            </w:r>
          </w:p>
          <w:p w14:paraId="5DA76E2D" w14:textId="77777777" w:rsidR="0042752C" w:rsidRPr="009420B0" w:rsidRDefault="0042752C" w:rsidP="00776927">
            <w:pPr>
              <w:rPr>
                <w:rFonts w:ascii="Times New Roman" w:hAnsi="Times New Roman"/>
              </w:rPr>
            </w:pPr>
          </w:p>
        </w:tc>
        <w:tc>
          <w:tcPr>
            <w:tcW w:w="2880" w:type="dxa"/>
          </w:tcPr>
          <w:p w14:paraId="7B3A89B0" w14:textId="77777777" w:rsidR="0042752C" w:rsidRPr="009420B0" w:rsidRDefault="0042752C" w:rsidP="00776927">
            <w:pPr>
              <w:rPr>
                <w:rFonts w:ascii="Times New Roman" w:hAnsi="Times New Roman"/>
              </w:rPr>
            </w:pPr>
          </w:p>
        </w:tc>
        <w:tc>
          <w:tcPr>
            <w:tcW w:w="2880" w:type="dxa"/>
          </w:tcPr>
          <w:p w14:paraId="0FC120DF" w14:textId="77777777" w:rsidR="0042752C" w:rsidRPr="009420B0" w:rsidRDefault="0042752C" w:rsidP="00776927">
            <w:pPr>
              <w:rPr>
                <w:rFonts w:ascii="Times New Roman" w:hAnsi="Times New Roman"/>
              </w:rPr>
            </w:pPr>
          </w:p>
        </w:tc>
      </w:tr>
      <w:tr w:rsidR="0042752C" w:rsidRPr="009420B0" w14:paraId="4F5D05EB" w14:textId="77777777" w:rsidTr="00776927">
        <w:tc>
          <w:tcPr>
            <w:tcW w:w="2988" w:type="dxa"/>
          </w:tcPr>
          <w:p w14:paraId="291A761D" w14:textId="77777777" w:rsidR="0042752C" w:rsidRPr="009420B0" w:rsidRDefault="0042752C" w:rsidP="00776927">
            <w:pPr>
              <w:rPr>
                <w:rFonts w:ascii="Times New Roman" w:hAnsi="Times New Roman"/>
              </w:rPr>
            </w:pPr>
            <w:r w:rsidRPr="009420B0">
              <w:rPr>
                <w:rFonts w:ascii="Arial" w:hAnsi="Arial" w:cs="Arial" w:eastAsia="Arial"/>
              </w:rPr>
              <w:t>Chairman</w:t>
            </w:r>
          </w:p>
          <w:p w14:paraId="77320DAC" w14:textId="77777777" w:rsidR="0042752C" w:rsidRPr="009420B0" w:rsidRDefault="0042752C" w:rsidP="00776927">
            <w:pPr>
              <w:rPr>
                <w:rFonts w:ascii="Times New Roman" w:hAnsi="Times New Roman"/>
              </w:rPr>
            </w:pPr>
          </w:p>
        </w:tc>
        <w:tc>
          <w:tcPr>
            <w:tcW w:w="2880" w:type="dxa"/>
          </w:tcPr>
          <w:p w14:paraId="56438934" w14:textId="77777777" w:rsidR="0042752C" w:rsidRPr="009420B0" w:rsidRDefault="0042752C" w:rsidP="00776927">
            <w:pPr>
              <w:rPr>
                <w:rFonts w:ascii="Times New Roman" w:hAnsi="Times New Roman"/>
              </w:rPr>
            </w:pPr>
          </w:p>
        </w:tc>
        <w:tc>
          <w:tcPr>
            <w:tcW w:w="2880" w:type="dxa"/>
          </w:tcPr>
          <w:p w14:paraId="77F36455" w14:textId="77777777" w:rsidR="0042752C" w:rsidRPr="009420B0" w:rsidRDefault="0042752C" w:rsidP="00776927">
            <w:pPr>
              <w:rPr>
                <w:rFonts w:ascii="Times New Roman" w:hAnsi="Times New Roman"/>
              </w:rPr>
            </w:pPr>
          </w:p>
        </w:tc>
      </w:tr>
      <w:tr w:rsidR="0042752C" w:rsidRPr="009420B0" w14:paraId="2D49FA45" w14:textId="77777777" w:rsidTr="00776927">
        <w:tc>
          <w:tcPr>
            <w:tcW w:w="2988" w:type="dxa"/>
          </w:tcPr>
          <w:p w14:paraId="3EB8D7B8" w14:textId="77777777" w:rsidR="0042752C" w:rsidRPr="009420B0" w:rsidRDefault="0042752C" w:rsidP="00776927">
            <w:pPr>
              <w:rPr>
                <w:rFonts w:ascii="Times New Roman" w:hAnsi="Times New Roman"/>
              </w:rPr>
            </w:pPr>
            <w:r w:rsidRPr="009420B0">
              <w:rPr>
                <w:rFonts w:ascii="Arial" w:hAnsi="Arial" w:cs="Arial" w:eastAsia="Arial"/>
              </w:rPr>
              <w:t xml:space="preserve">Date of approval of the final protocol </w:t>
            </w:r>
          </w:p>
        </w:tc>
        <w:tc>
          <w:tcPr>
            <w:tcW w:w="2880" w:type="dxa"/>
          </w:tcPr>
          <w:p w14:paraId="54389565" w14:textId="77777777" w:rsidR="0042752C" w:rsidRPr="009420B0" w:rsidRDefault="0042752C" w:rsidP="00776927">
            <w:pPr>
              <w:rPr>
                <w:rFonts w:ascii="Times New Roman" w:hAnsi="Times New Roman"/>
              </w:rPr>
            </w:pPr>
          </w:p>
        </w:tc>
        <w:tc>
          <w:tcPr>
            <w:tcW w:w="2880" w:type="dxa"/>
          </w:tcPr>
          <w:p w14:paraId="19C81E95" w14:textId="77777777" w:rsidR="0042752C" w:rsidRPr="009420B0" w:rsidRDefault="0042752C" w:rsidP="00776927">
            <w:pPr>
              <w:rPr>
                <w:rFonts w:ascii="Times New Roman" w:hAnsi="Times New Roman"/>
              </w:rPr>
            </w:pPr>
          </w:p>
        </w:tc>
      </w:tr>
      <w:tr w:rsidR="0042752C" w:rsidRPr="009420B0" w14:paraId="4156D49A" w14:textId="77777777" w:rsidTr="00776927">
        <w:tc>
          <w:tcPr>
            <w:tcW w:w="2988" w:type="dxa"/>
          </w:tcPr>
          <w:p w14:paraId="0A12EF21" w14:textId="77777777" w:rsidR="0042752C" w:rsidRPr="009420B0" w:rsidRDefault="0042752C" w:rsidP="00776927">
            <w:pPr>
              <w:rPr>
                <w:rFonts w:ascii="Times New Roman" w:hAnsi="Times New Roman"/>
              </w:rPr>
            </w:pPr>
            <w:r w:rsidRPr="009420B0">
              <w:rPr>
                <w:rFonts w:ascii="Arial" w:hAnsi="Arial" w:cs="Arial" w:eastAsia="Arial"/>
              </w:rPr>
              <w:t xml:space="preserve">Date of approval </w:t>
            </w:r>
            <w:proofErr w:type="gramStart"/>
            <w:r w:rsidRPr="009420B0">
              <w:rPr>
                <w:rFonts w:ascii="Arial" w:hAnsi="Arial" w:cs="Arial" w:eastAsia="Arial"/>
              </w:rPr>
              <w:t>of  amendment</w:t>
            </w:r>
            <w:proofErr w:type="gramEnd"/>
            <w:r w:rsidRPr="009420B0">
              <w:rPr>
                <w:rFonts w:ascii="Arial" w:hAnsi="Arial" w:cs="Arial" w:eastAsia="Arial"/>
              </w:rPr>
              <w:t xml:space="preserve"> 1</w:t>
            </w:r>
          </w:p>
        </w:tc>
        <w:tc>
          <w:tcPr>
            <w:tcW w:w="2880" w:type="dxa"/>
          </w:tcPr>
          <w:p w14:paraId="136C7219" w14:textId="77777777" w:rsidR="0042752C" w:rsidRPr="009420B0" w:rsidRDefault="0042752C" w:rsidP="00776927">
            <w:pPr>
              <w:rPr>
                <w:rFonts w:ascii="Times New Roman" w:hAnsi="Times New Roman"/>
              </w:rPr>
            </w:pPr>
          </w:p>
        </w:tc>
        <w:tc>
          <w:tcPr>
            <w:tcW w:w="2880" w:type="dxa"/>
          </w:tcPr>
          <w:p w14:paraId="4261E9E5" w14:textId="77777777" w:rsidR="0042752C" w:rsidRPr="009420B0" w:rsidRDefault="0042752C" w:rsidP="00776927">
            <w:pPr>
              <w:rPr>
                <w:rFonts w:ascii="Times New Roman" w:hAnsi="Times New Roman"/>
              </w:rPr>
            </w:pPr>
          </w:p>
        </w:tc>
      </w:tr>
      <w:tr w:rsidR="0042752C" w:rsidRPr="009420B0" w14:paraId="3F3AAEBD" w14:textId="77777777" w:rsidTr="00776927">
        <w:tc>
          <w:tcPr>
            <w:tcW w:w="2988" w:type="dxa"/>
          </w:tcPr>
          <w:p w14:paraId="3B26ECB1" w14:textId="77777777" w:rsidR="0042752C" w:rsidRPr="009420B0" w:rsidRDefault="0042752C" w:rsidP="00776927">
            <w:pPr>
              <w:rPr>
                <w:rFonts w:ascii="Times New Roman" w:hAnsi="Times New Roman"/>
              </w:rPr>
            </w:pPr>
            <w:r w:rsidRPr="009420B0">
              <w:rPr>
                <w:rFonts w:ascii="Arial" w:hAnsi="Arial" w:cs="Arial" w:eastAsia="Arial"/>
              </w:rPr>
              <w:t xml:space="preserve">Date of approval </w:t>
            </w:r>
            <w:proofErr w:type="gramStart"/>
            <w:r w:rsidRPr="009420B0">
              <w:rPr>
                <w:rFonts w:ascii="Arial" w:hAnsi="Arial" w:cs="Arial" w:eastAsia="Arial"/>
              </w:rPr>
              <w:t>of  amendment</w:t>
            </w:r>
            <w:proofErr w:type="gramEnd"/>
            <w:r w:rsidRPr="009420B0">
              <w:rPr>
                <w:rFonts w:ascii="Arial" w:hAnsi="Arial" w:cs="Arial" w:eastAsia="Arial"/>
              </w:rPr>
              <w:t xml:space="preserve"> 2</w:t>
            </w:r>
          </w:p>
        </w:tc>
        <w:tc>
          <w:tcPr>
            <w:tcW w:w="2880" w:type="dxa"/>
          </w:tcPr>
          <w:p w14:paraId="5F53067C" w14:textId="77777777" w:rsidR="0042752C" w:rsidRPr="009420B0" w:rsidRDefault="0042752C" w:rsidP="00776927">
            <w:pPr>
              <w:rPr>
                <w:rFonts w:ascii="Times New Roman" w:hAnsi="Times New Roman"/>
              </w:rPr>
            </w:pPr>
          </w:p>
        </w:tc>
        <w:tc>
          <w:tcPr>
            <w:tcW w:w="2880" w:type="dxa"/>
          </w:tcPr>
          <w:p w14:paraId="0F2CA821" w14:textId="77777777" w:rsidR="0042752C" w:rsidRPr="009420B0" w:rsidRDefault="0042752C" w:rsidP="00776927">
            <w:pPr>
              <w:rPr>
                <w:rFonts w:ascii="Times New Roman" w:hAnsi="Times New Roman"/>
              </w:rPr>
            </w:pPr>
          </w:p>
        </w:tc>
      </w:tr>
      <w:tr w:rsidR="0042752C" w:rsidRPr="009420B0" w14:paraId="5E151B1F" w14:textId="77777777" w:rsidTr="00776927">
        <w:tc>
          <w:tcPr>
            <w:tcW w:w="2988" w:type="dxa"/>
          </w:tcPr>
          <w:p w14:paraId="494E5DB4" w14:textId="77777777" w:rsidR="0042752C" w:rsidRPr="009420B0" w:rsidRDefault="0042752C" w:rsidP="00776927">
            <w:pPr>
              <w:rPr>
                <w:rFonts w:ascii="Times New Roman" w:hAnsi="Times New Roman"/>
              </w:rPr>
            </w:pPr>
            <w:r w:rsidRPr="009420B0">
              <w:rPr>
                <w:rFonts w:ascii="Arial" w:hAnsi="Arial" w:cs="Arial" w:eastAsia="Arial"/>
              </w:rPr>
              <w:t xml:space="preserve">Date of approval </w:t>
            </w:r>
            <w:proofErr w:type="gramStart"/>
            <w:r w:rsidRPr="009420B0">
              <w:rPr>
                <w:rFonts w:ascii="Arial" w:hAnsi="Arial" w:cs="Arial" w:eastAsia="Arial"/>
              </w:rPr>
              <w:t>of  amendment</w:t>
            </w:r>
            <w:proofErr w:type="gramEnd"/>
            <w:r w:rsidRPr="009420B0">
              <w:rPr>
                <w:rFonts w:ascii="Arial" w:hAnsi="Arial" w:cs="Arial" w:eastAsia="Arial"/>
              </w:rPr>
              <w:t xml:space="preserve"> 3</w:t>
            </w:r>
          </w:p>
        </w:tc>
        <w:tc>
          <w:tcPr>
            <w:tcW w:w="2880" w:type="dxa"/>
          </w:tcPr>
          <w:p w14:paraId="5E6DA272" w14:textId="77777777" w:rsidR="0042752C" w:rsidRPr="009420B0" w:rsidRDefault="0042752C" w:rsidP="00776927">
            <w:pPr>
              <w:rPr>
                <w:rFonts w:ascii="Times New Roman" w:hAnsi="Times New Roman"/>
              </w:rPr>
            </w:pPr>
          </w:p>
        </w:tc>
        <w:tc>
          <w:tcPr>
            <w:tcW w:w="2880" w:type="dxa"/>
          </w:tcPr>
          <w:p w14:paraId="2EFDEA5F" w14:textId="77777777" w:rsidR="0042752C" w:rsidRPr="009420B0" w:rsidRDefault="0042752C" w:rsidP="00776927">
            <w:pPr>
              <w:rPr>
                <w:rFonts w:ascii="Times New Roman" w:hAnsi="Times New Roman"/>
              </w:rPr>
            </w:pPr>
          </w:p>
        </w:tc>
      </w:tr>
    </w:tbl>
    <w:p>
      <w:r>
        <w:cr/>
      </w:r>
    </w:p>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71C73273" w14:textId="4CE5918D" w:rsidR="00046283" w:rsidRPr="0007375A" w:rsidRDefault="0007375A" w:rsidP="0007375A">
      <w:pPr>
        <w:spacing w:after="0"/>
        <w:rPr>
          <w:i/>
          <w:iCs/>
        </w:rPr>
      </w:pP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sidRPr="0007375A">
        <w:rPr>
          <w:rFonts w:ascii="Arial" w:hAnsi="Arial" w:cs="Arial" w:eastAsia="Arial"/>
          <w:b/>
          <w:bCs/>
          <w:i/>
          <w:iCs/>
          <w:color w:val="0D0D0D" w:themeColor="text1" w:themeTint="F2"/>
          <w:highlight w:val="yellow"/>
        </w:rPr>
        <w:t xml:space="preserve">Please fill this </w:t>
      </w:r>
      <w:r w:rsidRPr="0007375A">
        <w:rPr>
          <w:rFonts w:ascii="Arial" w:hAnsi="Arial" w:cs="Arial" w:eastAsia="Arial"/>
          <w:b/>
          <w:bCs/>
          <w:i/>
          <w:iCs/>
          <w:color w:val="0D0D0D" w:themeColor="text1" w:themeTint="F2"/>
          <w:highlight w:val="yellow"/>
        </w:rPr>
        <w:t xml:space="preserve">section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t xml:space="preserve">                     </w:t>
      </w:r>
    </w:p>
    <w:p>
      <w:pPr>
        <w:pStyle w:val="Heading3"/>
        <w:keepNext w:val="on"/>
        <w:ind w:left="2"/>
      </w:pPr>
      <w:r>
        <w:rPr>
          <w:rFonts w:ascii="Arial" w:hAnsi="Arial" w:cs="Arial" w:eastAsia="Arial"/>
          <w:b w:val="true"/>
          <w:sz w:val="24"/>
        </w:rPr>
        <w:t xml:space="preserve">  5.2 </w:t>
        <w:t>ETHICAL CONDUCT OF THE STUDY</w:t>
      </w:r>
      <w:bookmarkStart w:name="_ETHICAL_CONDUCT_OF_THE_STUDY" w:id="1258"/>
    </w:p>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5D203BBD" w14:textId="52215703" w:rsidR="003A103B" w:rsidRPr="008C43EE" w:rsidRDefault="008C43EE">
      <w:pPr>
        <w:rPr>
          <w:rFonts w:ascii="Times New Roman" w:hAnsi="Times New Roman"/>
        </w:rPr>
      </w:pPr>
      <w:r w:rsidRPr="009420B0">
        <w:rPr>
          <w:rFonts w:ascii="Arial" w:hAnsi="Arial" w:cs="Arial" w:eastAsia="Arial"/>
        </w:rPr>
        <w:t xml:space="preserve">The study was performed in accordance with the current version of the declaration of </w:t>
      </w:r>
      <w:smartTag w:uri="urn:schemas-microsoft-com:office:smarttags" w:element="City">
        <w:smartTag w:uri="urn:schemas-microsoft-com:office:smarttags" w:element="place">
          <w:r w:rsidRPr="009420B0">
            <w:rPr>
              <w:rFonts w:ascii="Arial" w:hAnsi="Arial" w:cs="Arial" w:eastAsia="Arial"/>
            </w:rPr>
            <w:t>Helsinki</w:t>
          </w:r>
        </w:smartTag>
      </w:smartTag>
      <w:r w:rsidRPr="009420B0">
        <w:rPr>
          <w:rFonts w:ascii="Arial" w:hAnsi="Arial" w:cs="Arial" w:eastAsia="Arial"/>
        </w:rPr>
        <w:t xml:space="preserve"> (52</w:t>
      </w:r>
      <w:r w:rsidRPr="009420B0">
        <w:rPr>
          <w:rFonts w:ascii="Arial" w:hAnsi="Arial" w:cs="Arial" w:eastAsia="Arial"/>
          <w:vertAlign w:val="superscript"/>
        </w:rPr>
        <w:t>nd</w:t>
      </w:r>
      <w:r w:rsidRPr="009420B0">
        <w:rPr>
          <w:rFonts w:ascii="Arial" w:hAnsi="Arial" w:cs="Arial" w:eastAsia="Arial"/>
        </w:rPr>
        <w:t xml:space="preserve"> WMA General Assembly, </w:t>
      </w:r>
      <w:smartTag w:uri="urn:schemas-microsoft-com:office:smarttags" w:element="place">
        <w:smartTag w:uri="urn:schemas-microsoft-com:office:smarttags" w:element="City">
          <w:r w:rsidRPr="009420B0">
            <w:rPr>
              <w:rFonts w:ascii="Arial" w:hAnsi="Arial" w:cs="Arial" w:eastAsia="Arial"/>
            </w:rPr>
            <w:t>Edinburgh</w:t>
          </w:r>
        </w:smartTag>
        <w:r w:rsidRPr="009420B0">
          <w:rPr>
            <w:rFonts w:ascii="Arial" w:hAnsi="Arial" w:cs="Arial" w:eastAsia="Arial"/>
          </w:rPr>
          <w:t xml:space="preserve">, </w:t>
        </w:r>
        <w:smartTag w:uri="urn:schemas-microsoft-com:office:smarttags" w:element="country-region">
          <w:r w:rsidRPr="009420B0">
            <w:rPr>
              <w:rFonts w:ascii="Arial" w:hAnsi="Arial" w:cs="Arial" w:eastAsia="Arial"/>
            </w:rPr>
            <w:t>Scotland</w:t>
          </w:r>
        </w:smartTag>
      </w:smartTag>
      <w:r w:rsidRPr="009420B0">
        <w:rPr>
          <w:rFonts w:ascii="Arial" w:hAnsi="Arial" w:cs="Arial" w:eastAsia="Arial"/>
        </w:rPr>
        <w:t>, October 2000).  The trial was conducted in agreement with the International Conference on Harmonisation (ICH) guidelines on Good Clinical Practise (GCP)</w:t>
      </w:r>
    </w:p>
    <w:p>
      <w:r>
        <w:cr/>
      </w:r>
    </w:p>
    <w:p>
      <w:pPr>
        <w:pStyle w:val="Heading3"/>
        <w:keepNext w:val="on"/>
        <w:ind w:left="2"/>
      </w:pPr>
      <w:r>
        <w:rPr>
          <w:rFonts w:ascii="Arial" w:hAnsi="Arial" w:cs="Arial" w:eastAsia="Arial"/>
          <w:b w:val="true"/>
          <w:sz w:val="24"/>
        </w:rPr>
        <w:t xml:space="preserve">  5.3 </w:t>
        <w:t>PATIENT INFORMATION AND CONSENT</w:t>
      </w:r>
      <w:bookmarkStart w:name="_PATIENT_INFORMATION_AND_CONSENT" w:id="1259"/>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20" w:right="349"/>
      </w:pPr>
      <w:r>
        <w:rPr>
          <w:rFonts w:ascii="Arial" w:hAnsi="Arial" w:cs="Arial" w:eastAsia="Arial"/>
        </w:rPr>
        <w:t>As part of administering the informed consent document, the investigator must explain to each subject the nature of the study, its purpose, the procedures involved, the expected duration, the potential risks and benefits involved, any potential discomfort, potential alternative procedure(s) or course(s) of treatment available to the subject, and the extent of maintaining confidentiality of the subject’s records. Each subject must be informed that participation in the study is voluntary, that he/she may withdraw from the study at any time, and that withdrawal of consent will not affect his/her subsequent medical treatment or relationship with the treating physician.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23"/>
      </w:pPr>
      <w:r>
        <w:rPr>
          <w:rFonts w:ascii="Arial" w:hAnsi="Arial" w:cs="Arial" w:eastAsia="Arial"/>
        </w:rPr>
        <w:t>This informed consent should be given by means of a standard written statement, written in nontechnical language. The subject should understand the statement before signing and dating it and will be given a copy of the signed document. If a subject is unable to read, an impartial witness should be present during the entire informed consent discussion. After the ICF and any other written information to be provided to subjects is read and explained to the subject, and after the subject has orally consented to the subject’s participation in the study and, if capable of doing so, has signed and personally dated the ICF, the witness should sign and personally date the consent form. The subject will be asked to sign an ICF before any study-specific procedures are performed. No subject can enter the study before his/her informed consent has been obtained. Subjects who agree to take part in the pharmacogenomic (PGx) assessment will be asked to provide a separate written informed consent for this procedure.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595"/>
      </w:pPr>
      <w:r>
        <w:rPr>
          <w:rFonts w:ascii="Arial" w:hAnsi="Arial" w:cs="Arial" w:eastAsia="Arial"/>
        </w:rPr>
        <w:t>An unsigned copy of an IRB-approved ICF must be prepared in accordance with ICH E6, Section 4, and all applicable local regulations. Each subject must sign an approved ICF before study participation. The form must be signed and dated by the appropriate parties. The original, signed ICF for each subject will be verified by the sponsor and kept on file according to local procedures at the site.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49"/>
      </w:pPr>
      <w:r>
        <w:rPr>
          <w:rFonts w:ascii="Arial" w:hAnsi="Arial" w:cs="Arial" w:eastAsia="Arial"/>
        </w:rPr>
        <w:t>The subject should be informed in a timely manner if new information becomes available that may be relevant to the subject’s willingness to continue participation in the study. The communication of this information should be documented.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sz w:val="21"/>
        </w:rPr>
      </w:pPr>
    </w:p>
    <w:p>
      <w:r>
        <w:cr/>
      </w:r>
    </w:p>
    <w:p>
      <w:pPr>
        <w:pStyle w:val="Heading1"/>
        <w:keepNext w:val="on"/>
        <w:ind w:left="1"/>
      </w:pPr>
      <w:r>
        <w:rPr>
          <w:rFonts w:ascii="Arial" w:hAnsi="Arial" w:cs="Arial" w:eastAsia="Arial"/>
          <w:b w:val="true"/>
          <w:color w:val="ffc800"/>
          <w:sz w:val="26"/>
        </w:rPr>
        <w:t xml:space="preserve">6. </w:t>
        <w:t>INVESTIGATORS AND STUDY ADMINISTRATIVE STRUCTURE</w:t>
      </w:r>
      <w:bookmarkStart w:name="_INVESTIGATORS_AND_STUDY_ADMINISTRATIVE_STRUCTURE" w:id="1260"/>
    </w:p>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05051329" w14:textId="77777777" w:rsidR="00786B16" w:rsidRPr="009420B0" w:rsidRDefault="00786B16" w:rsidP="00786B16">
      <w:pPr>
        <w:rPr>
          <w:rFonts w:ascii="Times New Roman" w:hAnsi="Times New Roman"/>
        </w:rPr>
      </w:pPr>
      <w:r w:rsidRPr="009420B0">
        <w:rPr>
          <w:rFonts w:ascii="Arial" w:hAnsi="Arial" w:cs="Arial" w:eastAsia="Arial"/>
        </w:rPr>
        <w:t>Table II shows the principal study personnel involved in the study.</w:t>
      </w:r>
    </w:p>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1A374EFD" w14:textId="77777777" w:rsidR="00786B16" w:rsidRPr="009420B0" w:rsidRDefault="00786B16" w:rsidP="00786B16">
      <w:pPr>
        <w:rPr>
          <w:rFonts w:ascii="Times New Roman" w:hAnsi="Times New Roman"/>
          <w:b/>
        </w:rPr>
      </w:pPr>
      <w:r w:rsidRPr="009420B0">
        <w:rPr>
          <w:rFonts w:ascii="Arial" w:hAnsi="Arial" w:cs="Arial" w:eastAsia="Arial"/>
          <w:b/>
        </w:rPr>
        <w:t>Table II: Principal study personnel</w:t>
      </w:r>
    </w:p>
    <w:tbl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tblPr>
        <w:tblW w:w="86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6840"/>
      </w:tblGrid>
      <w:tr w:rsidR="00786B16" w:rsidRPr="009420B0" w14:paraId="3EFF555D" w14:textId="77777777" w:rsidTr="00776927">
        <w:tc>
          <w:tcPr>
            <w:tcW w:w="1800" w:type="dxa"/>
          </w:tcPr>
          <w:p w14:paraId="1CBD83E8" w14:textId="77777777" w:rsidR="00786B16" w:rsidRPr="009420B0" w:rsidRDefault="00786B16" w:rsidP="00776927">
            <w:pPr>
              <w:jc w:val="center"/>
              <w:rPr>
                <w:rFonts w:ascii="Times New Roman" w:hAnsi="Times New Roman"/>
                <w:b/>
              </w:rPr>
            </w:pPr>
            <w:r w:rsidRPr="009420B0">
              <w:rPr>
                <w:rFonts w:ascii="Arial" w:hAnsi="Arial" w:cs="Arial" w:eastAsia="Arial"/>
                <w:b/>
              </w:rPr>
              <w:t>Title</w:t>
            </w:r>
          </w:p>
        </w:tc>
        <w:tc>
          <w:tcPr>
            <w:tcW w:w="6840" w:type="dxa"/>
          </w:tcPr>
          <w:p w14:paraId="2D7A1188" w14:textId="77777777" w:rsidR="00786B16" w:rsidRPr="009420B0" w:rsidRDefault="00786B16" w:rsidP="00776927">
            <w:pPr>
              <w:jc w:val="center"/>
              <w:rPr>
                <w:rFonts w:ascii="Times New Roman" w:hAnsi="Times New Roman"/>
                <w:b/>
              </w:rPr>
            </w:pPr>
            <w:r w:rsidRPr="009420B0">
              <w:rPr>
                <w:rFonts w:ascii="Arial" w:hAnsi="Arial" w:cs="Arial" w:eastAsia="Arial"/>
                <w:b/>
              </w:rPr>
              <w:t>Name and affiliation</w:t>
            </w:r>
          </w:p>
        </w:tc>
      </w:tr>
      <w:tr w:rsidR="00786B16" w:rsidRPr="009420B0" w14:paraId="3B6989BC" w14:textId="77777777" w:rsidTr="00776927">
        <w:tc>
          <w:tcPr>
            <w:tcW w:w="1800" w:type="dxa"/>
          </w:tcPr>
          <w:p w14:paraId="647AAB26" w14:textId="77777777" w:rsidR="00786B16" w:rsidRPr="009420B0" w:rsidRDefault="00786B16" w:rsidP="00776927">
            <w:pPr>
              <w:rPr>
                <w:rFonts w:ascii="Times New Roman" w:hAnsi="Times New Roman"/>
              </w:rPr>
            </w:pPr>
            <w:r w:rsidRPr="009420B0">
              <w:rPr>
                <w:rFonts w:ascii="Arial" w:hAnsi="Arial" w:cs="Arial" w:eastAsia="Arial"/>
              </w:rPr>
              <w:t>Principal Investigator</w:t>
            </w:r>
          </w:p>
        </w:tc>
        <w:tc>
          <w:tcPr>
            <w:tcW w:w="6840" w:type="dxa"/>
          </w:tcPr>
          <w:p w14:paraId="5104ACE4" w14:textId="77777777" w:rsidR="00786B16" w:rsidRPr="009420B0" w:rsidRDefault="00786B16" w:rsidP="00776927">
            <w:pPr>
              <w:rPr>
                <w:rFonts w:ascii="Times New Roman" w:hAnsi="Times New Roman"/>
              </w:rPr>
            </w:pPr>
          </w:p>
        </w:tc>
      </w:tr>
      <w:tr w:rsidR="00786B16" w:rsidRPr="009420B0" w14:paraId="0BC53F7A" w14:textId="77777777" w:rsidTr="00776927">
        <w:tc>
          <w:tcPr>
            <w:tcW w:w="1800" w:type="dxa"/>
          </w:tcPr>
          <w:p w14:paraId="5AD5C225" w14:textId="77777777" w:rsidR="00786B16" w:rsidRPr="009420B0" w:rsidRDefault="00786B16" w:rsidP="00776927">
            <w:pPr>
              <w:rPr>
                <w:rFonts w:ascii="Times New Roman" w:hAnsi="Times New Roman"/>
              </w:rPr>
            </w:pPr>
            <w:r w:rsidRPr="009420B0">
              <w:rPr>
                <w:rFonts w:ascii="Arial" w:hAnsi="Arial" w:cs="Arial" w:eastAsia="Arial"/>
              </w:rPr>
              <w:t>Principal investigator</w:t>
            </w:r>
          </w:p>
        </w:tc>
        <w:tc>
          <w:tcPr>
            <w:tcW w:w="6840" w:type="dxa"/>
          </w:tcPr>
          <w:p w14:paraId="5585DEE8" w14:textId="77777777" w:rsidR="00786B16" w:rsidRPr="009420B0" w:rsidRDefault="00786B16" w:rsidP="00776927">
            <w:pPr>
              <w:rPr>
                <w:rFonts w:ascii="Times New Roman" w:hAnsi="Times New Roman"/>
                <w:lang w:val="de-DE"/>
              </w:rPr>
            </w:pPr>
          </w:p>
        </w:tc>
      </w:tr>
      <w:tr w:rsidR="00786B16" w:rsidRPr="009420B0" w14:paraId="7B353C46" w14:textId="77777777" w:rsidTr="00776927">
        <w:tc>
          <w:tcPr>
            <w:tcW w:w="1800" w:type="dxa"/>
          </w:tcPr>
          <w:p w14:paraId="2920F2F4" w14:textId="77777777" w:rsidR="00786B16" w:rsidRPr="009420B0" w:rsidRDefault="00786B16" w:rsidP="00776927">
            <w:pPr>
              <w:rPr>
                <w:rFonts w:ascii="Times New Roman" w:hAnsi="Times New Roman"/>
              </w:rPr>
            </w:pPr>
            <w:r w:rsidRPr="009420B0">
              <w:rPr>
                <w:rFonts w:ascii="Arial" w:hAnsi="Arial" w:cs="Arial" w:eastAsia="Arial"/>
              </w:rPr>
              <w:t>Sponsor</w:t>
            </w:r>
          </w:p>
          <w:p w14:paraId="701546FD" w14:textId="77777777" w:rsidR="00786B16" w:rsidRPr="009420B0" w:rsidRDefault="00786B16" w:rsidP="00776927">
            <w:pPr>
              <w:rPr>
                <w:rFonts w:ascii="Times New Roman" w:hAnsi="Times New Roman"/>
              </w:rPr>
            </w:pPr>
          </w:p>
        </w:tc>
        <w:tc>
          <w:tcPr>
            <w:tcW w:w="6840" w:type="dxa"/>
          </w:tcPr>
          <w:p w14:paraId="7B515BA1" w14:textId="77777777" w:rsidR="00786B16" w:rsidRPr="009420B0" w:rsidRDefault="00786B16" w:rsidP="00776927">
            <w:pPr>
              <w:rPr>
                <w:rFonts w:ascii="Times New Roman" w:hAnsi="Times New Roman"/>
              </w:rPr>
            </w:pPr>
          </w:p>
        </w:tc>
      </w:tr>
      <w:tr w:rsidR="00786B16" w:rsidRPr="009420B0" w14:paraId="4EB08549" w14:textId="77777777" w:rsidTr="00776927">
        <w:tc>
          <w:tcPr>
            <w:tcW w:w="1800" w:type="dxa"/>
          </w:tcPr>
          <w:p w14:paraId="44565552" w14:textId="77777777" w:rsidR="00786B16" w:rsidRPr="009420B0" w:rsidRDefault="00786B16" w:rsidP="00776927">
            <w:pPr>
              <w:rPr>
                <w:rFonts w:ascii="Times New Roman" w:hAnsi="Times New Roman"/>
              </w:rPr>
            </w:pPr>
            <w:r w:rsidRPr="009420B0">
              <w:rPr>
                <w:rFonts w:ascii="Arial" w:hAnsi="Arial" w:cs="Arial" w:eastAsia="Arial"/>
              </w:rPr>
              <w:t xml:space="preserve">Sponsor </w:t>
            </w:r>
          </w:p>
          <w:p w14:paraId="3F14096D" w14:textId="77777777" w:rsidR="00786B16" w:rsidRPr="009420B0" w:rsidRDefault="00786B16" w:rsidP="00776927">
            <w:pPr>
              <w:rPr>
                <w:rFonts w:ascii="Times New Roman" w:hAnsi="Times New Roman"/>
              </w:rPr>
            </w:pPr>
          </w:p>
        </w:tc>
        <w:tc>
          <w:tcPr>
            <w:tcW w:w="6840" w:type="dxa"/>
          </w:tcPr>
          <w:p w14:paraId="7EBA5DE1" w14:textId="77777777" w:rsidR="00786B16" w:rsidRPr="009420B0" w:rsidRDefault="00786B16" w:rsidP="00776927">
            <w:pPr>
              <w:rPr>
                <w:rFonts w:ascii="Times New Roman" w:hAnsi="Times New Roman"/>
              </w:rPr>
            </w:pPr>
          </w:p>
        </w:tc>
      </w:tr>
      <w:tr w:rsidR="00786B16" w:rsidRPr="009420B0" w14:paraId="048F9DF6" w14:textId="77777777" w:rsidTr="00776927">
        <w:tc>
          <w:tcPr>
            <w:tcW w:w="1800" w:type="dxa"/>
          </w:tcPr>
          <w:p w14:paraId="64F627CB" w14:textId="77777777" w:rsidR="00786B16" w:rsidRPr="009420B0" w:rsidRDefault="00786B16" w:rsidP="00776927">
            <w:pPr>
              <w:rPr>
                <w:rFonts w:ascii="Times New Roman" w:hAnsi="Times New Roman"/>
              </w:rPr>
            </w:pPr>
            <w:r w:rsidRPr="009420B0">
              <w:rPr>
                <w:rFonts w:ascii="Arial" w:hAnsi="Arial" w:cs="Arial" w:eastAsia="Arial"/>
              </w:rPr>
              <w:t>Project Managers</w:t>
            </w:r>
          </w:p>
        </w:tc>
        <w:tc>
          <w:tcPr>
            <w:tcW w:w="6840" w:type="dxa"/>
          </w:tcPr>
          <w:p w14:paraId="526194A0" w14:textId="77777777" w:rsidR="00786B16" w:rsidRPr="009420B0" w:rsidRDefault="00786B16" w:rsidP="00776927">
            <w:pPr>
              <w:rPr>
                <w:rFonts w:ascii="Times New Roman" w:hAnsi="Times New Roman"/>
              </w:rPr>
            </w:pPr>
          </w:p>
        </w:tc>
      </w:tr>
      <w:tr w:rsidR="00786B16" w:rsidRPr="009420B0" w14:paraId="78223BA4" w14:textId="77777777" w:rsidTr="00776927">
        <w:tc>
          <w:tcPr>
            <w:tcW w:w="1800" w:type="dxa"/>
          </w:tcPr>
          <w:p w14:paraId="14ABA60F" w14:textId="77777777" w:rsidR="00786B16" w:rsidRPr="009420B0" w:rsidRDefault="00786B16" w:rsidP="00776927">
            <w:pPr>
              <w:rPr>
                <w:rFonts w:ascii="Times New Roman" w:hAnsi="Times New Roman"/>
              </w:rPr>
            </w:pPr>
            <w:r w:rsidRPr="009420B0">
              <w:rPr>
                <w:rFonts w:ascii="Arial" w:hAnsi="Arial" w:cs="Arial" w:eastAsia="Arial"/>
              </w:rPr>
              <w:t>Project Leaders</w:t>
            </w:r>
          </w:p>
        </w:tc>
        <w:tc>
          <w:tcPr>
            <w:tcW w:w="6840" w:type="dxa"/>
          </w:tcPr>
          <w:p w14:paraId="180E5010" w14:textId="77777777" w:rsidR="00786B16" w:rsidRPr="009420B0" w:rsidRDefault="00786B16" w:rsidP="00776927">
            <w:pPr>
              <w:rPr>
                <w:rFonts w:ascii="Times New Roman" w:hAnsi="Times New Roman"/>
              </w:rPr>
            </w:pPr>
          </w:p>
        </w:tc>
      </w:tr>
      <w:tr w:rsidR="00786B16" w:rsidRPr="009420B0" w14:paraId="07237B99" w14:textId="77777777" w:rsidTr="00776927">
        <w:tc>
          <w:tcPr>
            <w:tcW w:w="1800" w:type="dxa"/>
          </w:tcPr>
          <w:p w14:paraId="54570DDE" w14:textId="77777777" w:rsidR="00786B16" w:rsidRPr="009420B0" w:rsidRDefault="00786B16" w:rsidP="00776927">
            <w:pPr>
              <w:rPr>
                <w:rFonts w:ascii="Times New Roman" w:hAnsi="Times New Roman"/>
              </w:rPr>
            </w:pPr>
            <w:r w:rsidRPr="009420B0">
              <w:rPr>
                <w:rFonts w:ascii="Arial" w:hAnsi="Arial" w:cs="Arial" w:eastAsia="Arial"/>
              </w:rPr>
              <w:t>Clinical Research Associate(s)</w:t>
            </w:r>
          </w:p>
        </w:tc>
        <w:tc>
          <w:tcPr>
            <w:tcW w:w="6840" w:type="dxa"/>
          </w:tcPr>
          <w:p w14:paraId="2ABBF144" w14:textId="77777777" w:rsidR="00786B16" w:rsidRPr="009420B0" w:rsidRDefault="00786B16" w:rsidP="00776927">
            <w:pPr>
              <w:rPr>
                <w:rFonts w:ascii="Times New Roman" w:hAnsi="Times New Roman"/>
              </w:rPr>
            </w:pPr>
          </w:p>
        </w:tc>
      </w:tr>
      <w:tr w:rsidR="00786B16" w:rsidRPr="009420B0" w14:paraId="65A3EDAE" w14:textId="77777777" w:rsidTr="00776927">
        <w:tc>
          <w:tcPr>
            <w:tcW w:w="1800" w:type="dxa"/>
          </w:tcPr>
          <w:p w14:paraId="77495167" w14:textId="77777777" w:rsidR="00786B16" w:rsidRPr="009420B0" w:rsidRDefault="00786B16" w:rsidP="00776927">
            <w:pPr>
              <w:rPr>
                <w:rFonts w:ascii="Times New Roman" w:hAnsi="Times New Roman"/>
              </w:rPr>
            </w:pPr>
            <w:r w:rsidRPr="009420B0">
              <w:rPr>
                <w:rFonts w:ascii="Arial" w:hAnsi="Arial" w:cs="Arial" w:eastAsia="Arial"/>
              </w:rPr>
              <w:t>Medical Adviser</w:t>
            </w:r>
          </w:p>
        </w:tc>
        <w:tc>
          <w:tcPr>
            <w:tcW w:w="6840" w:type="dxa"/>
          </w:tcPr>
          <w:p w14:paraId="52C4DECB" w14:textId="77777777" w:rsidR="00786B16" w:rsidRPr="009420B0" w:rsidRDefault="00786B16" w:rsidP="00776927">
            <w:pPr>
              <w:rPr>
                <w:rFonts w:ascii="Times New Roman" w:hAnsi="Times New Roman"/>
              </w:rPr>
            </w:pPr>
          </w:p>
        </w:tc>
      </w:tr>
      <w:tr w:rsidR="00786B16" w:rsidRPr="009420B0" w14:paraId="7368CB34" w14:textId="77777777" w:rsidTr="00776927">
        <w:tc>
          <w:tcPr>
            <w:tcW w:w="1800" w:type="dxa"/>
          </w:tcPr>
          <w:p w14:paraId="5CE2278B" w14:textId="77777777" w:rsidR="00786B16" w:rsidRPr="009420B0" w:rsidRDefault="00786B16" w:rsidP="00776927">
            <w:pPr>
              <w:rPr>
                <w:rFonts w:ascii="Times New Roman" w:hAnsi="Times New Roman"/>
              </w:rPr>
            </w:pPr>
            <w:r w:rsidRPr="009420B0">
              <w:rPr>
                <w:rFonts w:ascii="Arial" w:hAnsi="Arial" w:cs="Arial" w:eastAsia="Arial"/>
              </w:rPr>
              <w:t>Laboratory investigator</w:t>
            </w:r>
          </w:p>
        </w:tc>
        <w:tc>
          <w:tcPr>
            <w:tcW w:w="6840" w:type="dxa"/>
          </w:tcPr>
          <w:p w14:paraId="6B13D895" w14:textId="77777777" w:rsidR="00786B16" w:rsidRPr="009420B0" w:rsidRDefault="00786B16" w:rsidP="00776927">
            <w:pPr>
              <w:tabs>
                <w:tab w:val="left" w:pos="3119"/>
              </w:tabs>
              <w:rPr>
                <w:rFonts w:ascii="Times New Roman" w:hAnsi="Times New Roman"/>
              </w:rPr>
            </w:pPr>
          </w:p>
        </w:tc>
      </w:tr>
      <w:tr w:rsidR="00786B16" w:rsidRPr="009420B0" w14:paraId="2B74CE17" w14:textId="77777777" w:rsidTr="00776927">
        <w:tc>
          <w:tcPr>
            <w:tcW w:w="1800" w:type="dxa"/>
          </w:tcPr>
          <w:p w14:paraId="16488C7E" w14:textId="77777777" w:rsidR="00786B16" w:rsidRPr="009420B0" w:rsidRDefault="00786B16" w:rsidP="00776927">
            <w:pPr>
              <w:rPr>
                <w:rFonts w:ascii="Times New Roman" w:hAnsi="Times New Roman"/>
              </w:rPr>
            </w:pPr>
            <w:r w:rsidRPr="009420B0">
              <w:rPr>
                <w:rFonts w:ascii="Arial" w:hAnsi="Arial" w:cs="Arial" w:eastAsia="Arial"/>
              </w:rPr>
              <w:t>Data Management</w:t>
            </w:r>
          </w:p>
        </w:tc>
        <w:tc>
          <w:tcPr>
            <w:tcW w:w="6840" w:type="dxa"/>
          </w:tcPr>
          <w:p w14:paraId="78428853" w14:textId="77777777" w:rsidR="00786B16" w:rsidRPr="009420B0" w:rsidRDefault="00786B16" w:rsidP="00776927">
            <w:pPr>
              <w:rPr>
                <w:rFonts w:ascii="Times New Roman" w:hAnsi="Times New Roman"/>
              </w:rPr>
            </w:pPr>
          </w:p>
        </w:tc>
      </w:tr>
    </w:tbl>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6C1EB1DB" w14:textId="432920C9" w:rsidR="003A103B" w:rsidRPr="00786B16" w:rsidRDefault="00786B16">
      <w:pPr>
        <w:rPr>
          <w:rFonts w:ascii="Times New Roman" w:hAnsi="Times New Roman"/>
          <w:b/>
        </w:rPr>
      </w:pPr>
      <w:r>
        <w:rPr>
          <w:rFonts w:ascii="Arial" w:hAnsi="Arial" w:cs="Arial" w:eastAsia="Arial"/>
          <w:b/>
        </w:rPr>
        <w:t xml:space="preserve"> </w:t>
      </w:r>
      <w:r w:rsidRPr="009420B0">
        <w:rPr>
          <w:rFonts w:ascii="Arial" w:hAnsi="Arial" w:cs="Arial" w:eastAsia="Arial"/>
          <w:b/>
        </w:rPr>
        <w:t>Table III: Organizations Critical to the conduct of the study</w:t>
      </w:r>
    </w:p>
    <w:p>
      <w:r>
        <w:cr/>
      </w:r>
    </w:p>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71C73273" w14:textId="4CE5918D" w:rsidR="00046283" w:rsidRPr="0007375A" w:rsidRDefault="0007375A" w:rsidP="0007375A">
      <w:pPr>
        <w:spacing w:after="0"/>
        <w:rPr>
          <w:i/>
          <w:iCs/>
        </w:rPr>
      </w:pP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sidRPr="0007375A">
        <w:rPr>
          <w:rFonts w:ascii="Arial" w:hAnsi="Arial" w:cs="Arial" w:eastAsia="Arial"/>
          <w:b/>
          <w:bCs/>
          <w:i/>
          <w:iCs/>
          <w:color w:val="0D0D0D" w:themeColor="text1" w:themeTint="F2"/>
          <w:highlight w:val="yellow"/>
        </w:rPr>
        <w:t xml:space="preserve">Please fill this </w:t>
      </w:r>
      <w:r w:rsidRPr="0007375A">
        <w:rPr>
          <w:rFonts w:ascii="Arial" w:hAnsi="Arial" w:cs="Arial" w:eastAsia="Arial"/>
          <w:b/>
          <w:bCs/>
          <w:i/>
          <w:iCs/>
          <w:color w:val="0D0D0D" w:themeColor="text1" w:themeTint="F2"/>
          <w:highlight w:val="yellow"/>
        </w:rPr>
        <w:t xml:space="preserve">section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t xml:space="preserve">                     </w:t>
      </w:r>
    </w:p>
    <w:p>
      <w:pPr>
        <w:pStyle w:val="Heading1"/>
        <w:keepNext w:val="on"/>
        <w:ind w:left="1"/>
      </w:pPr>
      <w:r>
        <w:rPr>
          <w:rFonts w:ascii="Arial" w:hAnsi="Arial" w:cs="Arial" w:eastAsia="Arial"/>
          <w:b w:val="true"/>
          <w:sz w:val="26"/>
        </w:rPr>
        <w:t xml:space="preserve">7. </w:t>
        <w:t>INTRODUCTION</w:t>
      </w:r>
      <w:bookmarkStart w:name="_INTRODUCTION" w:id="1261"/>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9"/>
        </w:numPr>
        <w:tabs>
          <w:tab w:pos="939" w:val="left" w:leader="none"/>
          <w:tab w:pos="940" w:val="left" w:leader="none"/>
        </w:tabs>
        <w:spacing w:line="240" w:lineRule="auto" w:before="239" w:after="0"/>
        <w:ind w:left="940" w:right="0" w:hanging="720"/>
        <w:jc w:val="left"/>
      </w:pPr>
      <w:bookmarkStart w:name="7.1 Indication" w:id="31"/>
      <w:bookmarkEnd w:id="31"/>
      <w:r>
        <w:rPr>
          <w:rFonts w:ascii="Arial" w:hAnsi="Arial" w:cs="Arial" w:eastAsia="Arial"/>
          <w:b w:val="0"/>
        </w:rPr>
      </w:r>
      <w:bookmarkStart w:name="_bookmark10" w:id="32"/>
      <w:bookmarkEnd w:id="32"/>
      <w:r>
        <w:rPr>
          <w:rFonts w:ascii="Arial" w:hAnsi="Arial" w:cs="Arial" w:eastAsia="Arial"/>
          <w:b w:val="0"/>
        </w:rPr>
      </w:r>
      <w:bookmarkStart w:name="_bookmark10" w:id="33"/>
      <w:bookmarkEnd w:id="33"/>
      <w:r>
        <w:rPr>
          <w:rFonts w:ascii="Arial" w:hAnsi="Arial" w:cs="Arial" w:eastAsia="Arial"/>
        </w:rPr>
        <w:t>Indication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20" w:right="217"/>
        <w:jc w:val="both"/>
      </w:pPr>
      <w:r>
        <w:rPr>
          <w:rFonts w:ascii="Arial" w:hAnsi="Arial" w:cs="Arial" w:eastAsia="Arial"/>
        </w:rPr>
        <w:t>The initial goal is to develop E2730 as an antiepileptic drug (AED) in patients with a rare form of epilepsy, in parallel with partial-onset seizure studies in adolescents and adults. The selection of the disease candidate for orphan drug treatment will be based on ongoing and planned preclinical studies in house and at external institutions.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0"/>
        </w:numPr>
        <w:tabs>
          <w:tab w:pos="1179" w:val="left" w:leader="none"/>
          <w:tab w:pos="1180" w:val="left" w:leader="none"/>
        </w:tabs>
        <w:spacing w:line="240" w:lineRule="auto" w:before="1" w:after="0"/>
        <w:ind w:left="1180" w:right="0" w:hanging="960"/>
        <w:jc w:val="left"/>
        <w:rPr>
          <w:rFonts w:ascii="Arial" w:hAnsi="Arial"/>
          <w:sz w:val="24"/>
        </w:rPr>
      </w:pPr>
      <w:bookmarkStart w:name="7.1.1 Mechanism of Action – E2730" w:id="34"/>
      <w:bookmarkEnd w:id="34"/>
      <w:r>
        <w:rPr>
          <w:rFonts w:ascii="Arial" w:hAnsi="Arial" w:cs="Arial" w:eastAsia="Arial"/>
        </w:rPr>
      </w:r>
      <w:bookmarkStart w:name="_bookmark11" w:id="35"/>
      <w:bookmarkEnd w:id="35"/>
      <w:r>
        <w:rPr>
          <w:rFonts w:ascii="Arial" w:hAnsi="Arial" w:cs="Arial" w:eastAsia="Arial"/>
        </w:rPr>
      </w:r>
      <w:bookmarkStart w:name="_bookmark11" w:id="36"/>
      <w:bookmarkEnd w:id="36"/>
      <w:r>
        <w:rPr>
          <w:rFonts w:ascii="Arial" w:hAnsi="Arial" w:cs="Arial" w:eastAsia="Arial"/>
          <w:sz w:val="24"/>
        </w:rPr>
        <w:t>Mechanism</w:t>
      </w:r>
      <w:r>
        <w:rPr>
          <w:rFonts w:ascii="Arial" w:hAnsi="Arial" w:cs="Arial" w:eastAsia="Arial"/>
          <w:sz w:val="24"/>
        </w:rPr>
        <w:t xml:space="preserve">  of Action –</w:t>
      </w:r>
      <w:r>
        <w:rPr>
          <w:rFonts w:ascii="Arial" w:hAnsi="Arial" w:cs="Arial" w:eastAsia="Arial"/>
          <w:spacing w:val="-1"/>
          <w:sz w:val="24"/>
        </w:rPr>
        <w:t xml:space="preserve">  </w:t>
      </w:r>
      <w:r>
        <w:rPr>
          <w:rFonts w:ascii="Arial" w:hAnsi="Arial" w:cs="Arial" w:eastAsia="Arial"/>
          <w:sz w:val="24"/>
        </w:rPr>
        <w:t xml:space="preserve">  E2730</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62"/>
      </w:pPr>
      <w:r>
        <w:rPr>
          <w:rFonts w:ascii="Arial" w:hAnsi="Arial" w:cs="Arial" w:eastAsia="Arial"/>
        </w:rPr>
        <w:t>E2730 was discovered by in vivo phenotypic screening using a mouse audiogenic seizure model, a concept that has been successfully demonstrated in AED development. In the rat amygdala kindling model, which is considered the most clinically relevant animal model to investigate the effects of compounds on partial-onset seizures (</w:t>
      </w:r>
      <w:r>
        <w:rPr>
          <w:rFonts w:ascii="Arial" w:hAnsi="Arial" w:cs="Arial" w:eastAsia="Arial"/>
          <w:color w:val="0000FF"/>
        </w:rPr>
        <w:t>Löscher, et al., 1986</w:t>
      </w:r>
      <w:r>
        <w:rPr>
          <w:rFonts w:ascii="Arial" w:hAnsi="Arial" w:cs="Arial" w:eastAsia="Arial"/>
        </w:rPr>
        <w:t>), E2730 showed significant and dose-dependent antiseizure effects after single oral administration.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230"/>
      </w:pPr>
      <w:r>
        <w:rPr>
          <w:rFonts w:ascii="Arial" w:hAnsi="Arial" w:cs="Arial" w:eastAsia="Arial"/>
        </w:rPr>
        <w:t>At doses of 10, 20, and 50 mg/kg in this model, E2730 significantly increased after discharge threshold in EEGs by 129%, 159%, and 191%, respectively, versus vehicle. In addition, E2730 dose-dependently reduced the incidence of seizures in the mouse 6 Hz psychomotor seizure model, which has been characterized as a partial-onset seizure model resistant to drug therapies and in the corneal kindling model, which is considered a highly predictive model of efficacy in human complex partial-onset seizures. The 50% effective dose (ED50) values in these models were 17 and 7.9 mg/kg, respectively.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293"/>
      </w:pPr>
      <w:r>
        <w:rPr>
          <w:rFonts w:ascii="Arial" w:hAnsi="Arial" w:cs="Arial" w:eastAsia="Arial"/>
        </w:rPr>
        <w:t>The mode of action was recently identified as uncompetitive antagonism of γ-aminobutyric acid (GABA) Transporter 1 via this mechanism of action. E2730 is proposed to increase the concentration of GABA in the synaptic cleft of GABAergic neurons, thereby increasing inhibitory neurotransmission. The uncompetitive antagonistic activity of E2730 at GABA Transporter 1 has been shown to be distinct from the noncompetitive mode of action of tiagabine (Gabitril®), leading to the conclusion that E2730 has a unique mode of action with potentially substantial advantages within this pharmacological class.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0"/>
        </w:numPr>
        <w:tabs>
          <w:tab w:pos="1179" w:val="left" w:leader="none"/>
          <w:tab w:pos="1180" w:val="left" w:leader="none"/>
        </w:tabs>
        <w:spacing w:line="240" w:lineRule="auto" w:before="0" w:after="0"/>
        <w:ind w:left="1180" w:right="0" w:hanging="960"/>
        <w:jc w:val="left"/>
        <w:rPr>
          <w:rFonts w:ascii="Arial"/>
          <w:sz w:val="24"/>
        </w:rPr>
      </w:pPr>
      <w:bookmarkStart w:name="7.1.2 Clinical Experience With E2730" w:id="37"/>
      <w:bookmarkEnd w:id="37"/>
      <w:r>
        <w:rPr>
          <w:rFonts w:ascii="Arial" w:hAnsi="Arial" w:cs="Arial" w:eastAsia="Arial"/>
        </w:rPr>
      </w:r>
      <w:bookmarkStart w:name="_bookmark12" w:id="38"/>
      <w:bookmarkEnd w:id="38"/>
      <w:r>
        <w:rPr>
          <w:rFonts w:ascii="Arial" w:hAnsi="Arial" w:cs="Arial" w:eastAsia="Arial"/>
        </w:rPr>
      </w:r>
      <w:bookmarkStart w:name="_bookmark12" w:id="39"/>
      <w:bookmarkEnd w:id="39"/>
      <w:r>
        <w:rPr>
          <w:rFonts w:ascii="Arial" w:hAnsi="Arial" w:cs="Arial" w:eastAsia="Arial"/>
          <w:sz w:val="24"/>
        </w:rPr>
        <w:t>Clinica</w:t>
      </w:r>
      <w:r>
        <w:rPr>
          <w:rFonts w:ascii="Arial" w:hAnsi="Arial" w:cs="Arial" w:eastAsia="Arial"/>
          <w:sz w:val="24"/>
        </w:rPr>
        <w:t>l Experience With</w:t>
      </w:r>
      <w:r>
        <w:rPr>
          <w:rFonts w:ascii="Arial" w:hAnsi="Arial" w:cs="Arial" w:eastAsia="Arial"/>
          <w:spacing w:val="-6"/>
          <w:sz w:val="24"/>
        </w:rPr>
        <w:t xml:space="preserve">  </w:t>
      </w:r>
      <w:r>
        <w:rPr>
          <w:rFonts w:ascii="Arial" w:hAnsi="Arial" w:cs="Arial" w:eastAsia="Arial"/>
          <w:sz w:val="24"/>
        </w:rPr>
        <w:t xml:space="preserve">  E2730</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02"/>
      </w:pPr>
      <w:r>
        <w:rPr>
          <w:rFonts w:ascii="Arial" w:hAnsi="Arial" w:cs="Arial" w:eastAsia="Arial"/>
        </w:rPr>
        <w:t>The E2730 clinical program to date comprises 1 completed Phase 1 study in which 6 healthy subjects received single doses of E2730 (20 mg) and 2 healthy subjects received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pPr>
      <w:r>
        <w:rPr>
          <w:rFonts w:ascii="Arial" w:hAnsi="Arial" w:cs="Arial" w:eastAsia="Arial"/>
        </w:rPr>
        <w:t>The first-in-human single ascending dose (SAD) study of E2730 (E2730-A001-001;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20" w:right="349"/>
      </w:pPr>
      <w:r>
        <w:rPr>
          <w:rFonts w:ascii="Arial" w:hAnsi="Arial" w:cs="Arial" w:eastAsia="Arial"/>
        </w:rPr>
        <w:t>Study 001), was initially planned to administer E2730 with dose escalation conducted in sequential dose groups consisting of 8 subjects per group randomized (3:1) to receive single ascending E2730 doses of 20, 40, or 80 mg or E2730-matched placebo. Dose escalation could only occur if the available data supported an increase in dose that did not exceed plasma E2730 exposures predefined for Cmax=1.5 μg/mL or area under the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pPr>
      <w:r>
        <w:rPr>
          <w:rFonts w:ascii="Arial" w:hAnsi="Arial" w:cs="Arial" w:eastAsia="Arial"/>
        </w:rPr>
        <w:t>concentration-time curve from zero time extrapolated to infinite time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pPr>
      <w:r>
        <w:rPr>
          <w:rFonts w:ascii="Arial" w:hAnsi="Arial" w:cs="Arial" w:eastAsia="Arial"/>
        </w:rPr>
        <w:t>(AUC(0-inf))=20μg•h/mL. This threshold was originally required by the Food and Drug Administration (FDA) and was reached with the first E2730 dose (20 mg). Thus, no higher E2730 doses were administered.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20" w:right="282"/>
      </w:pPr>
      <w:r>
        <w:rPr>
          <w:rFonts w:ascii="Arial" w:hAnsi="Arial" w:cs="Arial" w:eastAsia="Arial"/>
        </w:rPr>
        <w:t>The SAD study (E2730-A001-002; Study 002) is currently ongoing, where doses of 40, 80, 120, and 160 mg are planned in healthy subjects. The proposed doses are anticipated not to exceed 3 μg/mL, per the FDA’s revised limit on the Cmax, and the data will be evaluated on an ongoing basis during each dose escalation. The anticipated Cmax of the highest dose cohort (120 mg cohort) in the current study is likely not to exceed the prespecified threshold.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0"/>
        </w:numPr>
        <w:tabs>
          <w:tab w:pos="1419" w:val="left" w:leader="none"/>
          <w:tab w:pos="1420" w:val="left" w:leader="none"/>
        </w:tabs>
        <w:spacing w:line="240" w:lineRule="auto" w:before="0" w:after="0"/>
        <w:ind w:left="1420" w:right="0" w:hanging="1200"/>
        <w:jc w:val="left"/>
        <w:rPr>
          <w:rFonts w:ascii="Arial"/>
          <w:sz w:val="22"/>
        </w:rPr>
      </w:pPr>
      <w:bookmarkStart w:name="7.1.2.1 Pharmacokinetics" w:id="40"/>
      <w:bookmarkEnd w:id="40"/>
      <w:r>
        <w:rPr>
          <w:rFonts w:ascii="Arial" w:hAnsi="Arial" w:cs="Arial" w:eastAsia="Arial"/>
        </w:rPr>
      </w:r>
      <w:bookmarkStart w:name="_bookmark13" w:id="41"/>
      <w:bookmarkEnd w:id="41"/>
      <w:r>
        <w:rPr>
          <w:rFonts w:ascii="Arial" w:hAnsi="Arial" w:cs="Arial" w:eastAsia="Arial"/>
        </w:rPr>
      </w:r>
      <w:bookmarkStart w:name="_bookmark13" w:id="42"/>
      <w:bookmarkEnd w:id="42"/>
      <w:r>
        <w:rPr>
          <w:rFonts w:ascii="Arial" w:hAnsi="Arial" w:cs="Arial" w:eastAsia="Arial"/>
          <w:sz w:val="22"/>
        </w:rPr>
        <w:t>Pharmacokinetics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49"/>
      </w:pPr>
      <w:r>
        <w:rPr>
          <w:rFonts w:ascii="Arial" w:hAnsi="Arial" w:cs="Arial" w:eastAsia="Arial"/>
        </w:rPr>
        <w:t>In Study 001 and Study 002, which enrolled healthy subjects (18-50 years); E2730 was rapidly absorbed after a single oral administration of 20, 40, 80, and 120 mg. Plasma E2730 concentrations peaked at 1.25 to 5.5 hours. The </w:t>
      </w:r>
      <w:r>
        <w:rPr>
          <w:rFonts w:ascii="Arial" w:hAnsi="Arial" w:cs="Arial" w:eastAsia="Arial"/>
          <w:i/>
        </w:rPr>
        <w:t xml:space="preserve">  N</w:t>
      </w:r>
      <w:r>
        <w:rPr>
          <w:rFonts w:ascii="Arial" w:hAnsi="Arial" w:cs="Arial" w:eastAsia="Arial"/>
        </w:rPr>
        <w:t>-acetyl metabolite (M1) was sparsely detected just above or at the lower limit of quantification, thus a complete plasma M1 pharmacokinetic (PK) profile could not be derived. Pharmacokinetic parameters in Study 001 and Study 002 are shown in Table 1. Although C</w:t>
      </w:r>
      <w:r>
        <w:rPr>
          <w:rFonts w:ascii="Arial" w:hAnsi="Arial" w:cs="Arial" w:eastAsia="Arial"/>
          <w:vertAlign w:val="subscript"/>
        </w:rPr>
        <w:t>max</w:t>
      </w:r>
      <w:r>
        <w:rPr>
          <w:rFonts w:ascii="Arial" w:hAnsi="Arial" w:cs="Arial" w:eastAsia="Arial"/>
          <w:vertAlign w:val="baseline"/>
        </w:rPr>
        <w:t xml:space="preserve">  and AUC</w:t>
      </w:r>
      <w:r>
        <w:rPr>
          <w:rFonts w:ascii="Arial" w:hAnsi="Arial" w:cs="Arial" w:eastAsia="Arial"/>
          <w:vertAlign w:val="subscript"/>
        </w:rPr>
        <w:t>(0-24)</w:t>
      </w:r>
      <w:r>
        <w:rPr>
          <w:rFonts w:ascii="Arial" w:hAnsi="Arial" w:cs="Arial" w:eastAsia="Arial"/>
          <w:vertAlign w:val="baseline"/>
        </w:rPr>
        <w:t xml:space="preserve">  were less than dose proportional between 20 mg and 40 mg, there was almost dose proportional from 40 mg through 120 mg. The highest individual C</w:t>
      </w:r>
      <w:r>
        <w:rPr>
          <w:rFonts w:ascii="Arial" w:hAnsi="Arial" w:cs="Arial" w:eastAsia="Arial"/>
          <w:vertAlign w:val="subscript"/>
        </w:rPr>
        <w:t>max</w:t>
      </w:r>
      <w:r>
        <w:rPr>
          <w:rFonts w:ascii="Arial" w:hAnsi="Arial" w:cs="Arial" w:eastAsia="Arial"/>
          <w:vertAlign w:val="baseline"/>
        </w:rPr>
        <w:t xml:space="preserve">  value (2.930 μg/mL) of 120 mg was not to exceed the prespecified threshold of 3 μg/mL. There was 1 subject who had low plasma E2730 concentration (C</w:t>
      </w:r>
      <w:r>
        <w:rPr>
          <w:rFonts w:ascii="Arial" w:hAnsi="Arial" w:cs="Arial" w:eastAsia="Arial"/>
          <w:vertAlign w:val="subscript"/>
        </w:rPr>
        <w:t>max</w:t>
      </w:r>
      <w:r>
        <w:rPr>
          <w:rFonts w:ascii="Arial" w:hAnsi="Arial" w:cs="Arial" w:eastAsia="Arial"/>
          <w:vertAlign w:val="baseline"/>
        </w:rPr>
        <w:t>: 0.222 μg/mL) in the 120 mg cohort. The plasma E2730 concentration declined with a mean terminal elimination phase half-life (t</w:t>
      </w:r>
      <w:r>
        <w:rPr>
          <w:rFonts w:ascii="Arial" w:hAnsi="Arial" w:cs="Arial" w:eastAsia="Arial"/>
          <w:vertAlign w:val="subscript"/>
        </w:rPr>
        <w:t>1/2</w:t>
      </w:r>
      <w:r>
        <w:rPr>
          <w:rFonts w:ascii="Arial" w:hAnsi="Arial" w:cs="Arial" w:eastAsia="Arial"/>
          <w:vertAlign w:val="baseline"/>
        </w:rPr>
        <w:t>) of 59.0 to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pPr>
      <w:r>
        <w:rPr>
          <w:rFonts w:ascii="Arial" w:hAnsi="Arial" w:cs="Arial" w:eastAsia="Arial"/>
        </w:rPr>
        <w:t>69.8 hours.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5"/>
        <w:rPr>
          <w:sz w:val="26"/>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tabs>
          <w:tab w:pos="1659" w:val="left" w:leader="none"/>
        </w:tabs>
        <w:rPr>
          <w:rFonts w:ascii="Arial"/>
        </w:rPr>
      </w:pPr>
      <w:bookmarkStart w:name="_bookmark14" w:id="43"/>
      <w:bookmarkEnd w:id="43"/>
      <w:r>
        <w:rPr>
          <w:rFonts w:ascii="Arial" w:hAnsi="Arial" w:cs="Arial" w:eastAsia="Arial"/>
          <w:b w:val="0"/>
        </w:rPr>
      </w:r>
      <w:r>
        <w:rPr>
          <w:rFonts w:ascii="Arial" w:hAnsi="Arial" w:cs="Arial" w:eastAsia="Arial"/>
        </w:rPr>
        <w:t>Table</w:t>
      </w:r>
      <w:r>
        <w:rPr>
          <w:rFonts w:ascii="Arial" w:hAnsi="Arial" w:cs="Arial" w:eastAsia="Arial"/>
          <w:spacing w:val="1"/>
        </w:rPr>
        <w:t xml:space="preserve">  </w:t>
      </w:r>
      <w:r>
        <w:rPr>
          <w:rFonts w:ascii="Arial" w:hAnsi="Arial" w:cs="Arial" w:eastAsia="Arial"/>
        </w:rPr>
        <w:t xml:space="preserve">  1</w:t>
        <w:tab/>
        <w:t>PK Parameters In Study 001 (20 mg) and Study 002 (40 mg, 80</w:t>
      </w:r>
      <w:r>
        <w:rPr>
          <w:rFonts w:ascii="Arial" w:hAnsi="Arial" w:cs="Arial" w:eastAsia="Arial"/>
          <w:spacing w:val="-14"/>
        </w:rPr>
        <w:t xml:space="preserve">  </w:t>
      </w:r>
      <w:r>
        <w:rPr>
          <w:rFonts w:ascii="Arial" w:hAnsi="Arial" w:cs="Arial" w:eastAsia="Arial"/>
        </w:rPr>
        <w:t xml:space="preserve">  mg,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before="0"/>
        <w:ind w:left="1660" w:right="0" w:firstLine="0"/>
        <w:jc w:val="left"/>
        <w:rPr>
          <w:rFonts w:ascii="Arial"/>
          <w:b/>
          <w:sz w:val="24"/>
        </w:rPr>
      </w:pPr>
      <w:r>
        <w:rPr>
          <w:rFonts w:ascii="Arial" w:hAnsi="Arial" w:cs="Arial" w:eastAsia="Arial"/>
          <w:b/>
          <w:sz w:val="24"/>
        </w:rPr>
        <w:t>and 120 mg)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after="1"/>
        <w:rPr>
          <w:rFonts w:ascii="Arial"/>
          <w:b/>
          <w:sz w:val="10"/>
        </w:rPr>
      </w:pPr>
    </w:p>
    <w:tbl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6"/>
        <w:gridCol w:w="1536"/>
        <w:gridCol w:w="1536"/>
        <w:gridCol w:w="1536"/>
        <w:gridCol w:w="1536"/>
        <w:gridCol w:w="1536"/>
      </w:tblGrid>
      <w:tr>
        <w:trPr>
          <w:trHeight w:val="580" w:hRule="atLeast"/>
        </w:trPr>
        <w:tc>
          <w:tcPr>
            <w:tcW w:w="1536" w:type="dxa"/>
          </w:tcPr>
          <w:p>
            <w:pPr>
              <w:pStyle w:val="TableParagraph"/>
              <w:spacing w:before="173"/>
              <w:ind w:left="277" w:right="271"/>
              <w:jc w:val="center"/>
              <w:rPr>
                <w:b/>
                <w:sz w:val="20"/>
              </w:rPr>
            </w:pPr>
            <w:r>
              <w:rPr>
                <w:rFonts w:ascii="Arial" w:hAnsi="Arial" w:cs="Arial" w:eastAsia="Arial"/>
                <w:b/>
                <w:sz w:val="20"/>
              </w:rPr>
              <w:t>Dose</w:t>
            </w:r>
          </w:p>
        </w:tc>
        <w:tc>
          <w:tcPr>
            <w:tcW w:w="1536" w:type="dxa"/>
          </w:tcPr>
          <w:p>
            <w:pPr>
              <w:pStyle w:val="TableParagraph"/>
              <w:spacing w:before="173"/>
              <w:ind w:left="467"/>
              <w:rPr>
                <w:b/>
                <w:sz w:val="20"/>
              </w:rPr>
            </w:pPr>
            <w:r>
              <w:rPr>
                <w:rFonts w:ascii="Arial" w:hAnsi="Arial" w:cs="Arial" w:eastAsia="Arial"/>
                <w:b/>
                <w:sz w:val="20"/>
              </w:rPr>
              <w:t>t</w:t>
            </w:r>
            <w:r>
              <w:rPr>
                <w:rFonts w:ascii="Arial" w:hAnsi="Arial" w:cs="Arial" w:eastAsia="Arial"/>
                <w:b/>
                <w:sz w:val="20"/>
                <w:vertAlign w:val="subscript"/>
              </w:rPr>
              <w:t>max</w:t>
            </w:r>
            <w:r>
              <w:rPr>
                <w:rFonts w:ascii="Arial" w:hAnsi="Arial" w:cs="Arial" w:eastAsia="Arial"/>
                <w:b/>
                <w:sz w:val="20"/>
                <w:vertAlign w:val="baseline"/>
              </w:rPr>
              <w:t> (h)</w:t>
            </w:r>
          </w:p>
        </w:tc>
        <w:tc>
          <w:tcPr>
            <w:tcW w:w="1536" w:type="dxa"/>
          </w:tcPr>
          <w:p>
            <w:pPr>
              <w:pStyle w:val="TableParagraph"/>
              <w:spacing w:before="173"/>
              <w:ind w:left="201"/>
              <w:rPr>
                <w:b/>
                <w:sz w:val="20"/>
              </w:rPr>
            </w:pPr>
            <w:r>
              <w:rPr>
                <w:rFonts w:ascii="Arial" w:hAnsi="Arial" w:cs="Arial" w:eastAsia="Arial"/>
                <w:b/>
                <w:sz w:val="20"/>
              </w:rPr>
              <w:t>C</w:t>
            </w:r>
            <w:r>
              <w:rPr>
                <w:rFonts w:ascii="Arial" w:hAnsi="Arial" w:cs="Arial" w:eastAsia="Arial"/>
                <w:b/>
                <w:sz w:val="20"/>
                <w:vertAlign w:val="subscript"/>
              </w:rPr>
              <w:t>max</w:t>
            </w:r>
            <w:r>
              <w:rPr>
                <w:rFonts w:ascii="Arial" w:hAnsi="Arial" w:cs="Arial" w:eastAsia="Arial"/>
                <w:b/>
                <w:sz w:val="20"/>
                <w:vertAlign w:val="baseline"/>
              </w:rPr>
              <w:t> (ng/mL)</w:t>
            </w:r>
          </w:p>
        </w:tc>
        <w:tc>
          <w:tcPr>
            <w:tcW w:w="1536" w:type="dxa"/>
          </w:tcPr>
          <w:p>
            <w:pPr>
              <w:pStyle w:val="TableParagraph"/>
              <w:spacing w:line="237" w:lineRule="exact" w:before="59"/>
              <w:ind w:left="388"/>
              <w:rPr>
                <w:b/>
                <w:sz w:val="13"/>
              </w:rPr>
            </w:pPr>
            <w:r>
              <w:rPr>
                <w:rFonts w:ascii="Arial" w:hAnsi="Arial" w:cs="Arial" w:eastAsia="Arial"/>
                <w:b/>
                <w:position w:val="3"/>
                <w:sz w:val="20"/>
              </w:rPr>
              <w:t>AUC</w:t>
            </w:r>
            <w:r>
              <w:rPr>
                <w:rFonts w:ascii="Arial" w:hAnsi="Arial" w:cs="Arial" w:eastAsia="Arial"/>
                <w:b/>
                <w:sz w:val="13"/>
              </w:rPr>
              <w:t>(0-24)</w:t>
            </w:r>
          </w:p>
          <w:p>
            <w:pPr>
              <w:pStyle w:val="TableParagraph"/>
              <w:spacing w:line="222" w:lineRule="exact"/>
              <w:ind w:left="326"/>
              <w:rPr>
                <w:b/>
                <w:sz w:val="20"/>
              </w:rPr>
            </w:pPr>
            <w:r>
              <w:rPr>
                <w:rFonts w:ascii="Arial" w:hAnsi="Arial" w:cs="Arial" w:eastAsia="Arial"/>
                <w:b/>
                <w:sz w:val="20"/>
              </w:rPr>
              <w:t>(ng•h/mL)</w:t>
            </w:r>
          </w:p>
        </w:tc>
        <w:tc>
          <w:tcPr>
            <w:tcW w:w="1536" w:type="dxa"/>
          </w:tcPr>
          <w:p>
            <w:pPr>
              <w:pStyle w:val="TableParagraph"/>
              <w:spacing w:line="223" w:lineRule="auto" w:before="73"/>
              <w:ind w:left="326" w:firstLine="52"/>
              <w:rPr>
                <w:b/>
                <w:sz w:val="20"/>
              </w:rPr>
            </w:pPr>
            <w:r>
              <w:rPr>
                <w:rFonts w:ascii="Arial" w:hAnsi="Arial" w:cs="Arial" w:eastAsia="Arial"/>
                <w:b/>
                <w:position w:val="3"/>
                <w:sz w:val="20"/>
              </w:rPr>
              <w:t>AUC</w:t>
            </w:r>
            <w:r>
              <w:rPr>
                <w:rFonts w:ascii="Arial" w:hAnsi="Arial" w:cs="Arial" w:eastAsia="Arial"/>
                <w:b/>
                <w:sz w:val="13"/>
              </w:rPr>
              <w:t>(0-inf) </w:t>
            </w:r>
            <w:r>
              <w:rPr>
                <w:rFonts w:ascii="Arial" w:hAnsi="Arial" w:cs="Arial" w:eastAsia="Arial"/>
                <w:b/>
                <w:sz w:val="20"/>
              </w:rPr>
              <w:t>(ng•h/mL)</w:t>
            </w:r>
          </w:p>
        </w:tc>
        <w:tc>
          <w:tcPr>
            <w:tcW w:w="1536" w:type="dxa"/>
          </w:tcPr>
          <w:p>
            <w:pPr>
              <w:pStyle w:val="TableParagraph"/>
              <w:spacing w:before="173"/>
              <w:ind w:left="279" w:right="271"/>
              <w:jc w:val="center"/>
              <w:rPr>
                <w:b/>
                <w:sz w:val="20"/>
              </w:rPr>
            </w:pPr>
            <w:r>
              <w:rPr>
                <w:rFonts w:ascii="Arial" w:hAnsi="Arial" w:cs="Arial" w:eastAsia="Arial"/>
                <w:b/>
                <w:sz w:val="20"/>
              </w:rPr>
              <w:t>t</w:t>
            </w:r>
            <w:r>
              <w:rPr>
                <w:rFonts w:ascii="Arial" w:hAnsi="Arial" w:cs="Arial" w:eastAsia="Arial"/>
                <w:b/>
                <w:sz w:val="20"/>
                <w:vertAlign w:val="subscript"/>
              </w:rPr>
              <w:t>½</w:t>
            </w:r>
            <w:r>
              <w:rPr>
                <w:rFonts w:ascii="Arial" w:hAnsi="Arial" w:cs="Arial" w:eastAsia="Arial"/>
                <w:b/>
                <w:sz w:val="20"/>
                <w:vertAlign w:val="baseline"/>
              </w:rPr>
              <w:t> (h)</w:t>
            </w:r>
          </w:p>
        </w:tc>
      </w:tr>
      <w:tr>
        <w:trPr>
          <w:trHeight w:val="640" w:hRule="atLeast"/>
        </w:trPr>
        <w:tc>
          <w:tcPr>
            <w:tcW w:w="1536" w:type="dxa"/>
          </w:tcPr>
          <w:p>
            <w:pPr>
              <w:pStyle w:val="TableParagraph"/>
              <w:spacing w:before="4"/>
              <w:rPr>
                <w:rFonts w:ascii="Arial"/>
                <w:b/>
                <w:sz w:val="17"/>
              </w:rPr>
            </w:pPr>
          </w:p>
          <w:p>
            <w:pPr>
              <w:pStyle w:val="TableParagraph"/>
              <w:ind w:left="277" w:right="271"/>
              <w:jc w:val="center"/>
              <w:rPr>
                <w:sz w:val="20"/>
              </w:rPr>
            </w:pPr>
            <w:r>
              <w:rPr>
                <w:rFonts w:ascii="Arial" w:hAnsi="Arial" w:cs="Arial" w:eastAsia="Arial"/>
                <w:sz w:val="20"/>
              </w:rPr>
              <w:t>20 mg</w:t>
            </w:r>
          </w:p>
        </w:tc>
        <w:tc>
          <w:tcPr>
            <w:tcW w:w="1536" w:type="dxa"/>
          </w:tcPr>
          <w:p>
            <w:pPr>
              <w:pStyle w:val="TableParagraph"/>
              <w:spacing w:before="24"/>
              <w:ind w:left="280" w:right="269"/>
              <w:jc w:val="center"/>
              <w:rPr>
                <w:sz w:val="20"/>
              </w:rPr>
            </w:pPr>
            <w:r>
              <w:rPr>
                <w:rFonts w:ascii="Arial" w:hAnsi="Arial" w:cs="Arial" w:eastAsia="Arial"/>
                <w:sz w:val="20"/>
              </w:rPr>
              <w:t>1.25</w:t>
            </w:r>
          </w:p>
          <w:p>
            <w:pPr>
              <w:pStyle w:val="TableParagraph"/>
              <w:spacing w:before="60"/>
              <w:ind w:left="280" w:right="271"/>
              <w:jc w:val="center"/>
              <w:rPr>
                <w:sz w:val="20"/>
              </w:rPr>
            </w:pPr>
            <w:r>
              <w:rPr>
                <w:rFonts w:ascii="Arial" w:hAnsi="Arial" w:cs="Arial" w:eastAsia="Arial"/>
                <w:sz w:val="20"/>
              </w:rPr>
              <w:t>(0.50, 1.50)</w:t>
            </w:r>
          </w:p>
        </w:tc>
        <w:tc>
          <w:tcPr>
            <w:tcW w:w="1536" w:type="dxa"/>
          </w:tcPr>
          <w:p>
            <w:pPr>
              <w:pStyle w:val="TableParagraph"/>
              <w:spacing w:before="53"/>
              <w:ind w:left="280" w:right="271"/>
              <w:jc w:val="center"/>
              <w:rPr>
                <w:sz w:val="20"/>
              </w:rPr>
            </w:pPr>
            <w:r>
              <w:rPr>
                <w:rFonts w:ascii="Arial" w:hAnsi="Arial" w:cs="Arial" w:eastAsia="Arial"/>
                <w:sz w:val="20"/>
              </w:rPr>
              <w:t>351</w:t>
            </w:r>
          </w:p>
          <w:p>
            <w:pPr>
              <w:pStyle w:val="TableParagraph"/>
              <w:spacing w:before="60"/>
              <w:ind w:left="280" w:right="271"/>
              <w:jc w:val="center"/>
              <w:rPr>
                <w:sz w:val="20"/>
              </w:rPr>
            </w:pPr>
            <w:r>
              <w:rPr>
                <w:rFonts w:ascii="Arial" w:hAnsi="Arial" w:cs="Arial" w:eastAsia="Arial"/>
                <w:sz w:val="20"/>
              </w:rPr>
              <w:t>(22.7)</w:t>
            </w:r>
          </w:p>
        </w:tc>
        <w:tc>
          <w:tcPr>
            <w:tcW w:w="1536" w:type="dxa"/>
          </w:tcPr>
          <w:p>
            <w:pPr>
              <w:pStyle w:val="TableParagraph"/>
              <w:spacing w:before="53"/>
              <w:ind w:left="280" w:right="271"/>
              <w:jc w:val="center"/>
              <w:rPr>
                <w:sz w:val="20"/>
              </w:rPr>
            </w:pPr>
            <w:r>
              <w:rPr>
                <w:rFonts w:ascii="Arial" w:hAnsi="Arial" w:cs="Arial" w:eastAsia="Arial"/>
                <w:sz w:val="20"/>
              </w:rPr>
              <w:t>6330</w:t>
            </w:r>
          </w:p>
          <w:p>
            <w:pPr>
              <w:pStyle w:val="TableParagraph"/>
              <w:spacing w:before="60"/>
              <w:ind w:left="280" w:right="271"/>
              <w:jc w:val="center"/>
              <w:rPr>
                <w:sz w:val="20"/>
              </w:rPr>
            </w:pPr>
            <w:r>
              <w:rPr>
                <w:rFonts w:ascii="Arial" w:hAnsi="Arial" w:cs="Arial" w:eastAsia="Arial"/>
                <w:sz w:val="20"/>
              </w:rPr>
              <w:t>(23.9)</w:t>
            </w:r>
          </w:p>
        </w:tc>
        <w:tc>
          <w:tcPr>
            <w:tcW w:w="1536" w:type="dxa"/>
          </w:tcPr>
          <w:p>
            <w:pPr>
              <w:pStyle w:val="TableParagraph"/>
              <w:spacing w:before="53"/>
              <w:ind w:left="280" w:right="269"/>
              <w:jc w:val="center"/>
              <w:rPr>
                <w:sz w:val="20"/>
              </w:rPr>
            </w:pPr>
            <w:r>
              <w:rPr>
                <w:rFonts w:ascii="Arial" w:hAnsi="Arial" w:cs="Arial" w:eastAsia="Arial"/>
                <w:sz w:val="20"/>
              </w:rPr>
              <w:t>28600</w:t>
            </w:r>
          </w:p>
          <w:p>
            <w:pPr>
              <w:pStyle w:val="TableParagraph"/>
              <w:spacing w:before="60"/>
              <w:ind w:left="280" w:right="271"/>
              <w:jc w:val="center"/>
              <w:rPr>
                <w:sz w:val="20"/>
              </w:rPr>
            </w:pPr>
            <w:r>
              <w:rPr>
                <w:rFonts w:ascii="Arial" w:hAnsi="Arial" w:cs="Arial" w:eastAsia="Arial"/>
                <w:sz w:val="20"/>
              </w:rPr>
              <w:t>(11.5)</w:t>
            </w:r>
          </w:p>
        </w:tc>
        <w:tc>
          <w:tcPr>
            <w:tcW w:w="1536" w:type="dxa"/>
          </w:tcPr>
          <w:p>
            <w:pPr>
              <w:pStyle w:val="TableParagraph"/>
              <w:spacing w:before="53"/>
              <w:ind w:left="280" w:right="269"/>
              <w:jc w:val="center"/>
              <w:rPr>
                <w:sz w:val="20"/>
              </w:rPr>
            </w:pPr>
            <w:r>
              <w:rPr>
                <w:rFonts w:ascii="Arial" w:hAnsi="Arial" w:cs="Arial" w:eastAsia="Arial"/>
                <w:sz w:val="20"/>
              </w:rPr>
              <w:t>69.8</w:t>
            </w:r>
          </w:p>
          <w:p>
            <w:pPr>
              <w:pStyle w:val="TableParagraph"/>
              <w:spacing w:before="60"/>
              <w:ind w:left="280" w:right="271"/>
              <w:jc w:val="center"/>
              <w:rPr>
                <w:sz w:val="20"/>
              </w:rPr>
            </w:pPr>
            <w:r>
              <w:rPr>
                <w:rFonts w:ascii="Arial" w:hAnsi="Arial" w:cs="Arial" w:eastAsia="Arial"/>
                <w:sz w:val="20"/>
              </w:rPr>
              <w:t>(21.9)</w:t>
            </w:r>
          </w:p>
        </w:tc>
      </w:tr>
      <w:tr>
        <w:trPr>
          <w:trHeight w:val="928" w:hRule="atLeast"/>
        </w:trPr>
        <w:tc>
          <w:tcPr>
            <w:tcW w:w="1536" w:type="dxa"/>
          </w:tcPr>
          <w:p>
            <w:pPr>
              <w:pStyle w:val="TableParagraph"/>
              <w:spacing w:before="10"/>
              <w:rPr>
                <w:rFonts w:ascii="Arial"/>
                <w:b/>
                <w:sz w:val="29"/>
              </w:rPr>
            </w:pPr>
          </w:p>
          <w:p>
            <w:pPr>
              <w:pStyle w:val="TableParagraph"/>
              <w:ind w:left="277" w:right="271"/>
              <w:jc w:val="center"/>
              <w:rPr>
                <w:sz w:val="20"/>
              </w:rPr>
            </w:pPr>
            <w:r>
              <w:rPr>
                <w:rFonts w:ascii="Arial" w:hAnsi="Arial" w:cs="Arial" w:eastAsia="Arial"/>
                <w:sz w:val="20"/>
              </w:rPr>
              <w:t>40 mg</w:t>
            </w:r>
          </w:p>
        </w:tc>
        <w:tc>
          <w:tcPr>
            <w:tcW w:w="1536" w:type="dxa"/>
          </w:tcPr>
          <w:p>
            <w:pPr>
              <w:pStyle w:val="TableParagraph"/>
              <w:spacing w:before="168"/>
              <w:ind w:left="280" w:right="270"/>
              <w:jc w:val="center"/>
              <w:rPr>
                <w:sz w:val="20"/>
              </w:rPr>
            </w:pPr>
            <w:r>
              <w:rPr>
                <w:rFonts w:ascii="Arial" w:hAnsi="Arial" w:cs="Arial" w:eastAsia="Arial"/>
                <w:sz w:val="20"/>
              </w:rPr>
              <w:t>3.00</w:t>
            </w:r>
          </w:p>
          <w:p>
            <w:pPr>
              <w:pStyle w:val="TableParagraph"/>
              <w:spacing w:before="60"/>
              <w:ind w:left="279" w:right="271"/>
              <w:jc w:val="center"/>
              <w:rPr>
                <w:sz w:val="20"/>
              </w:rPr>
            </w:pPr>
            <w:r>
              <w:rPr>
                <w:rFonts w:ascii="Arial" w:hAnsi="Arial" w:cs="Arial" w:eastAsia="Arial"/>
                <w:sz w:val="20"/>
              </w:rPr>
              <w:t>(1.50, 6.00)</w:t>
            </w:r>
          </w:p>
        </w:tc>
        <w:tc>
          <w:tcPr>
            <w:tcW w:w="1536" w:type="dxa"/>
          </w:tcPr>
          <w:p>
            <w:pPr>
              <w:pStyle w:val="TableParagraph"/>
              <w:spacing w:before="197"/>
              <w:ind w:left="280" w:right="271"/>
              <w:jc w:val="center"/>
              <w:rPr>
                <w:sz w:val="20"/>
              </w:rPr>
            </w:pPr>
            <w:r>
              <w:rPr>
                <w:rFonts w:ascii="Arial" w:hAnsi="Arial" w:cs="Arial" w:eastAsia="Arial"/>
                <w:sz w:val="20"/>
              </w:rPr>
              <w:t>496</w:t>
            </w:r>
          </w:p>
          <w:p>
            <w:pPr>
              <w:pStyle w:val="TableParagraph"/>
              <w:spacing w:before="60"/>
              <w:ind w:left="280" w:right="271"/>
              <w:jc w:val="center"/>
              <w:rPr>
                <w:sz w:val="20"/>
              </w:rPr>
            </w:pPr>
            <w:r>
              <w:rPr>
                <w:rFonts w:ascii="Arial" w:hAnsi="Arial" w:cs="Arial" w:eastAsia="Arial"/>
                <w:sz w:val="20"/>
              </w:rPr>
              <w:t>(20.3)</w:t>
            </w:r>
          </w:p>
        </w:tc>
        <w:tc>
          <w:tcPr>
            <w:tcW w:w="1536" w:type="dxa"/>
          </w:tcPr>
          <w:p>
            <w:pPr>
              <w:pStyle w:val="TableParagraph"/>
              <w:spacing w:before="197"/>
              <w:ind w:left="280" w:right="271"/>
              <w:jc w:val="center"/>
              <w:rPr>
                <w:sz w:val="20"/>
              </w:rPr>
            </w:pPr>
            <w:r>
              <w:rPr>
                <w:rFonts w:ascii="Arial" w:hAnsi="Arial" w:cs="Arial" w:eastAsia="Arial"/>
                <w:sz w:val="20"/>
              </w:rPr>
              <w:t>9210</w:t>
            </w:r>
          </w:p>
          <w:p>
            <w:pPr>
              <w:pStyle w:val="TableParagraph"/>
              <w:spacing w:before="60"/>
              <w:ind w:left="280" w:right="271"/>
              <w:jc w:val="center"/>
              <w:rPr>
                <w:sz w:val="20"/>
              </w:rPr>
            </w:pPr>
            <w:r>
              <w:rPr>
                <w:rFonts w:ascii="Arial" w:hAnsi="Arial" w:cs="Arial" w:eastAsia="Arial"/>
                <w:sz w:val="20"/>
              </w:rPr>
              <w:t>(19.6)</w:t>
            </w:r>
          </w:p>
        </w:tc>
        <w:tc>
          <w:tcPr>
            <w:tcW w:w="1536" w:type="dxa"/>
          </w:tcPr>
          <w:p>
            <w:pPr>
              <w:pStyle w:val="TableParagraph"/>
              <w:spacing w:before="197"/>
              <w:ind w:left="280" w:right="269"/>
              <w:jc w:val="center"/>
              <w:rPr>
                <w:sz w:val="20"/>
              </w:rPr>
            </w:pPr>
            <w:r>
              <w:rPr>
                <w:rFonts w:ascii="Arial" w:hAnsi="Arial" w:cs="Arial" w:eastAsia="Arial"/>
                <w:sz w:val="20"/>
              </w:rPr>
              <w:t>41300</w:t>
            </w:r>
          </w:p>
          <w:p>
            <w:pPr>
              <w:pStyle w:val="TableParagraph"/>
              <w:spacing w:before="60"/>
              <w:ind w:left="280" w:right="271"/>
              <w:jc w:val="center"/>
              <w:rPr>
                <w:sz w:val="20"/>
              </w:rPr>
            </w:pPr>
            <w:r>
              <w:rPr>
                <w:rFonts w:ascii="Arial" w:hAnsi="Arial" w:cs="Arial" w:eastAsia="Arial"/>
                <w:sz w:val="20"/>
              </w:rPr>
              <w:t>(15.9)</w:t>
            </w:r>
          </w:p>
        </w:tc>
        <w:tc>
          <w:tcPr>
            <w:tcW w:w="1536" w:type="dxa"/>
          </w:tcPr>
          <w:p>
            <w:pPr>
              <w:pStyle w:val="TableParagraph"/>
              <w:spacing w:before="53"/>
              <w:ind w:left="280" w:right="269"/>
              <w:jc w:val="center"/>
              <w:rPr>
                <w:sz w:val="20"/>
              </w:rPr>
            </w:pPr>
            <w:r>
              <w:rPr>
                <w:rFonts w:ascii="Arial" w:hAnsi="Arial" w:cs="Arial" w:eastAsia="Arial"/>
                <w:sz w:val="20"/>
              </w:rPr>
              <w:t>69.7</w:t>
            </w:r>
          </w:p>
          <w:p>
            <w:pPr>
              <w:pStyle w:val="TableParagraph"/>
              <w:spacing w:before="60"/>
              <w:ind w:left="280" w:right="271"/>
              <w:jc w:val="center"/>
              <w:rPr>
                <w:sz w:val="20"/>
              </w:rPr>
            </w:pPr>
            <w:r>
              <w:rPr>
                <w:rFonts w:ascii="Arial" w:hAnsi="Arial" w:cs="Arial" w:eastAsia="Arial"/>
                <w:sz w:val="20"/>
              </w:rPr>
              <w:t>(15.2)</w:t>
            </w:r>
          </w:p>
        </w:tc>
      </w:tr>
      <w:tr>
        <w:trPr>
          <w:trHeight w:val="640" w:hRule="atLeast"/>
        </w:trPr>
        <w:tc>
          <w:tcPr>
            <w:tcW w:w="1536" w:type="dxa"/>
          </w:tcPr>
          <w:p>
            <w:pPr>
              <w:pStyle w:val="TableParagraph"/>
              <w:spacing w:before="4"/>
              <w:rPr>
                <w:rFonts w:ascii="Arial"/>
                <w:b/>
                <w:sz w:val="17"/>
              </w:rPr>
            </w:pPr>
          </w:p>
          <w:p>
            <w:pPr>
              <w:pStyle w:val="TableParagraph"/>
              <w:ind w:left="277" w:right="271"/>
              <w:jc w:val="center"/>
              <w:rPr>
                <w:sz w:val="20"/>
              </w:rPr>
            </w:pPr>
            <w:r>
              <w:rPr>
                <w:rFonts w:ascii="Arial" w:hAnsi="Arial" w:cs="Arial" w:eastAsia="Arial"/>
                <w:sz w:val="20"/>
              </w:rPr>
              <w:t>80 mg</w:t>
            </w:r>
          </w:p>
        </w:tc>
        <w:tc>
          <w:tcPr>
            <w:tcW w:w="1536" w:type="dxa"/>
          </w:tcPr>
          <w:p>
            <w:pPr>
              <w:pStyle w:val="TableParagraph"/>
              <w:spacing w:before="24"/>
              <w:ind w:left="280" w:right="270"/>
              <w:jc w:val="center"/>
              <w:rPr>
                <w:sz w:val="20"/>
              </w:rPr>
            </w:pPr>
            <w:r>
              <w:rPr>
                <w:rFonts w:ascii="Arial" w:hAnsi="Arial" w:cs="Arial" w:eastAsia="Arial"/>
                <w:sz w:val="20"/>
              </w:rPr>
              <w:t>5.50</w:t>
            </w:r>
          </w:p>
          <w:p>
            <w:pPr>
              <w:pStyle w:val="TableParagraph"/>
              <w:spacing w:before="60"/>
              <w:ind w:left="280" w:right="271"/>
              <w:jc w:val="center"/>
              <w:rPr>
                <w:sz w:val="20"/>
              </w:rPr>
            </w:pPr>
            <w:r>
              <w:rPr>
                <w:rFonts w:ascii="Arial" w:hAnsi="Arial" w:cs="Arial" w:eastAsia="Arial"/>
                <w:sz w:val="20"/>
              </w:rPr>
              <w:t>(1.00, 8.00)</w:t>
            </w:r>
          </w:p>
        </w:tc>
        <w:tc>
          <w:tcPr>
            <w:tcW w:w="1536" w:type="dxa"/>
          </w:tcPr>
          <w:p>
            <w:pPr>
              <w:pStyle w:val="TableParagraph"/>
              <w:spacing w:before="55"/>
              <w:ind w:left="280" w:right="271"/>
              <w:jc w:val="center"/>
              <w:rPr>
                <w:sz w:val="20"/>
              </w:rPr>
            </w:pPr>
            <w:r>
              <w:rPr>
                <w:rFonts w:ascii="Arial" w:hAnsi="Arial" w:cs="Arial" w:eastAsia="Arial"/>
                <w:sz w:val="20"/>
              </w:rPr>
              <w:t>899</w:t>
            </w:r>
          </w:p>
          <w:p>
            <w:pPr>
              <w:pStyle w:val="TableParagraph"/>
              <w:spacing w:before="58"/>
              <w:ind w:left="280" w:right="271"/>
              <w:jc w:val="center"/>
              <w:rPr>
                <w:sz w:val="20"/>
              </w:rPr>
            </w:pPr>
            <w:r>
              <w:rPr>
                <w:rFonts w:ascii="Arial" w:hAnsi="Arial" w:cs="Arial" w:eastAsia="Arial"/>
                <w:sz w:val="20"/>
              </w:rPr>
              <w:t>(14)</w:t>
            </w:r>
          </w:p>
        </w:tc>
        <w:tc>
          <w:tcPr>
            <w:tcW w:w="1536" w:type="dxa"/>
          </w:tcPr>
          <w:p>
            <w:pPr>
              <w:pStyle w:val="TableParagraph"/>
              <w:spacing w:before="55"/>
              <w:ind w:left="280" w:right="269"/>
              <w:jc w:val="center"/>
              <w:rPr>
                <w:sz w:val="20"/>
              </w:rPr>
            </w:pPr>
            <w:r>
              <w:rPr>
                <w:rFonts w:ascii="Arial" w:hAnsi="Arial" w:cs="Arial" w:eastAsia="Arial"/>
                <w:sz w:val="20"/>
              </w:rPr>
              <w:t>16900</w:t>
            </w:r>
          </w:p>
          <w:p>
            <w:pPr>
              <w:pStyle w:val="TableParagraph"/>
              <w:spacing w:before="58"/>
              <w:ind w:left="280" w:right="271"/>
              <w:jc w:val="center"/>
              <w:rPr>
                <w:sz w:val="20"/>
              </w:rPr>
            </w:pPr>
            <w:r>
              <w:rPr>
                <w:rFonts w:ascii="Arial" w:hAnsi="Arial" w:cs="Arial" w:eastAsia="Arial"/>
                <w:sz w:val="20"/>
              </w:rPr>
              <w:t>(12.7)</w:t>
            </w:r>
          </w:p>
        </w:tc>
        <w:tc>
          <w:tcPr>
            <w:tcW w:w="1536" w:type="dxa"/>
          </w:tcPr>
          <w:p>
            <w:pPr>
              <w:pStyle w:val="TableParagraph"/>
              <w:spacing w:before="55"/>
              <w:ind w:left="280" w:right="269"/>
              <w:jc w:val="center"/>
              <w:rPr>
                <w:sz w:val="20"/>
              </w:rPr>
            </w:pPr>
            <w:r>
              <w:rPr>
                <w:rFonts w:ascii="Arial" w:hAnsi="Arial" w:cs="Arial" w:eastAsia="Arial"/>
                <w:sz w:val="20"/>
              </w:rPr>
              <w:t>61100</w:t>
            </w:r>
          </w:p>
          <w:p>
            <w:pPr>
              <w:pStyle w:val="TableParagraph"/>
              <w:spacing w:before="58"/>
              <w:ind w:left="280" w:right="271"/>
              <w:jc w:val="center"/>
              <w:rPr>
                <w:sz w:val="20"/>
              </w:rPr>
            </w:pPr>
            <w:r>
              <w:rPr>
                <w:rFonts w:ascii="Arial" w:hAnsi="Arial" w:cs="Arial" w:eastAsia="Arial"/>
                <w:sz w:val="20"/>
              </w:rPr>
              <w:t>(6.44)</w:t>
            </w:r>
          </w:p>
        </w:tc>
        <w:tc>
          <w:tcPr>
            <w:tcW w:w="1536" w:type="dxa"/>
          </w:tcPr>
          <w:p>
            <w:pPr>
              <w:pStyle w:val="TableParagraph"/>
              <w:spacing w:before="55"/>
              <w:ind w:left="280" w:right="269"/>
              <w:jc w:val="center"/>
              <w:rPr>
                <w:sz w:val="20"/>
              </w:rPr>
            </w:pPr>
            <w:r>
              <w:rPr>
                <w:rFonts w:ascii="Arial" w:hAnsi="Arial" w:cs="Arial" w:eastAsia="Arial"/>
                <w:sz w:val="20"/>
              </w:rPr>
              <w:t>59.0</w:t>
            </w:r>
          </w:p>
          <w:p>
            <w:pPr>
              <w:pStyle w:val="TableParagraph"/>
              <w:spacing w:before="58"/>
              <w:ind w:left="280" w:right="271"/>
              <w:jc w:val="center"/>
              <w:rPr>
                <w:sz w:val="20"/>
              </w:rPr>
            </w:pPr>
            <w:r>
              <w:rPr>
                <w:rFonts w:ascii="Arial" w:hAnsi="Arial" w:cs="Arial" w:eastAsia="Arial"/>
                <w:sz w:val="20"/>
              </w:rPr>
              <w:t>(15.8)</w:t>
            </w:r>
          </w:p>
        </w:tc>
      </w:tr>
      <w:tr>
        <w:trPr>
          <w:trHeight w:val="640" w:hRule="atLeast"/>
        </w:trPr>
        <w:tc>
          <w:tcPr>
            <w:tcW w:w="1536" w:type="dxa"/>
          </w:tcPr>
          <w:p>
            <w:pPr>
              <w:pStyle w:val="TableParagraph"/>
              <w:spacing w:before="4"/>
              <w:rPr>
                <w:rFonts w:ascii="Arial"/>
                <w:b/>
                <w:sz w:val="17"/>
              </w:rPr>
            </w:pPr>
          </w:p>
          <w:p>
            <w:pPr>
              <w:pStyle w:val="TableParagraph"/>
              <w:ind w:left="279" w:right="271"/>
              <w:jc w:val="center"/>
              <w:rPr>
                <w:sz w:val="20"/>
              </w:rPr>
            </w:pPr>
            <w:r>
              <w:rPr>
                <w:rFonts w:ascii="Arial" w:hAnsi="Arial" w:cs="Arial" w:eastAsia="Arial"/>
                <w:sz w:val="20"/>
              </w:rPr>
              <w:t>120 mg</w:t>
            </w:r>
          </w:p>
        </w:tc>
        <w:tc>
          <w:tcPr>
            <w:tcW w:w="1536" w:type="dxa"/>
          </w:tcPr>
          <w:p>
            <w:pPr>
              <w:pStyle w:val="TableParagraph"/>
              <w:spacing w:before="84"/>
              <w:ind w:left="280" w:right="269"/>
              <w:jc w:val="center"/>
              <w:rPr>
                <w:sz w:val="20"/>
              </w:rPr>
            </w:pPr>
            <w:r>
              <w:rPr>
                <w:rFonts w:ascii="Arial" w:hAnsi="Arial" w:cs="Arial" w:eastAsia="Arial"/>
                <w:sz w:val="20"/>
              </w:rPr>
              <w:t>4.50</w:t>
            </w:r>
          </w:p>
          <w:p>
            <w:pPr>
              <w:pStyle w:val="TableParagraph"/>
              <w:ind w:left="280" w:right="271"/>
              <w:jc w:val="center"/>
              <w:rPr>
                <w:sz w:val="20"/>
              </w:rPr>
            </w:pPr>
            <w:r>
              <w:rPr>
                <w:rFonts w:ascii="Arial" w:hAnsi="Arial" w:cs="Arial" w:eastAsia="Arial"/>
                <w:sz w:val="20"/>
              </w:rPr>
              <w:t>(0.50, 8.00)</w:t>
            </w:r>
          </w:p>
        </w:tc>
        <w:tc>
          <w:tcPr>
            <w:tcW w:w="1536" w:type="dxa"/>
          </w:tcPr>
          <w:p>
            <w:pPr>
              <w:pStyle w:val="TableParagraph"/>
              <w:spacing w:before="53"/>
              <w:ind w:left="280" w:right="271"/>
              <w:jc w:val="center"/>
              <w:rPr>
                <w:sz w:val="20"/>
              </w:rPr>
            </w:pPr>
            <w:r>
              <w:rPr>
                <w:rFonts w:ascii="Arial" w:hAnsi="Arial" w:cs="Arial" w:eastAsia="Arial"/>
                <w:sz w:val="20"/>
              </w:rPr>
              <w:t>1270</w:t>
            </w:r>
          </w:p>
          <w:p>
            <w:pPr>
              <w:pStyle w:val="TableParagraph"/>
              <w:spacing w:before="60"/>
              <w:ind w:left="280" w:right="271"/>
              <w:jc w:val="center"/>
              <w:rPr>
                <w:sz w:val="20"/>
              </w:rPr>
            </w:pPr>
            <w:r>
              <w:rPr>
                <w:rFonts w:ascii="Arial" w:hAnsi="Arial" w:cs="Arial" w:eastAsia="Arial"/>
                <w:sz w:val="20"/>
              </w:rPr>
              <w:t>(116)</w:t>
            </w:r>
          </w:p>
        </w:tc>
        <w:tc>
          <w:tcPr>
            <w:tcW w:w="1536" w:type="dxa"/>
          </w:tcPr>
          <w:p>
            <w:pPr>
              <w:pStyle w:val="TableParagraph"/>
              <w:spacing w:before="53"/>
              <w:ind w:left="280" w:right="269"/>
              <w:jc w:val="center"/>
              <w:rPr>
                <w:sz w:val="20"/>
              </w:rPr>
            </w:pPr>
            <w:r>
              <w:rPr>
                <w:rFonts w:ascii="Arial" w:hAnsi="Arial" w:cs="Arial" w:eastAsia="Arial"/>
                <w:sz w:val="20"/>
              </w:rPr>
              <w:t>23300</w:t>
            </w:r>
          </w:p>
          <w:p>
            <w:pPr>
              <w:pStyle w:val="TableParagraph"/>
              <w:spacing w:before="60"/>
              <w:ind w:left="280" w:right="271"/>
              <w:jc w:val="center"/>
              <w:rPr>
                <w:sz w:val="20"/>
              </w:rPr>
            </w:pPr>
            <w:r>
              <w:rPr>
                <w:rFonts w:ascii="Arial" w:hAnsi="Arial" w:cs="Arial" w:eastAsia="Arial"/>
                <w:sz w:val="20"/>
              </w:rPr>
              <w:t>(110)</w:t>
            </w:r>
          </w:p>
        </w:tc>
        <w:tc>
          <w:tcPr>
            <w:tcW w:w="1536" w:type="dxa"/>
          </w:tcPr>
          <w:p>
            <w:pPr>
              <w:pStyle w:val="TableParagraph"/>
              <w:spacing w:before="199"/>
              <w:ind w:left="278" w:right="271"/>
              <w:jc w:val="center"/>
              <w:rPr>
                <w:sz w:val="20"/>
              </w:rPr>
            </w:pPr>
            <w:r>
              <w:rPr>
                <w:rFonts w:ascii="Arial" w:hAnsi="Arial" w:cs="Arial" w:eastAsia="Arial"/>
                <w:sz w:val="20"/>
              </w:rPr>
              <w:t>n/a</w:t>
            </w:r>
            <w:r>
              <w:rPr>
                <w:rFonts w:ascii="Arial" w:hAnsi="Arial" w:cs="Arial" w:eastAsia="Arial"/>
                <w:sz w:val="20"/>
                <w:vertAlign w:val="superscript"/>
              </w:rPr>
              <w:t>a</w:t>
            </w:r>
          </w:p>
        </w:tc>
        <w:tc>
          <w:tcPr>
            <w:tcW w:w="1536" w:type="dxa"/>
          </w:tcPr>
          <w:p>
            <w:pPr>
              <w:pStyle w:val="TableParagraph"/>
              <w:spacing w:before="199"/>
              <w:ind w:left="278" w:right="271"/>
              <w:jc w:val="center"/>
              <w:rPr>
                <w:sz w:val="20"/>
              </w:rPr>
            </w:pPr>
            <w:r>
              <w:rPr>
                <w:rFonts w:ascii="Arial" w:hAnsi="Arial" w:cs="Arial" w:eastAsia="Arial"/>
                <w:sz w:val="20"/>
              </w:rPr>
              <w:t>n/a</w:t>
            </w:r>
            <w:r>
              <w:rPr>
                <w:rFonts w:ascii="Arial" w:hAnsi="Arial" w:cs="Arial" w:eastAsia="Arial"/>
                <w:sz w:val="20"/>
                <w:vertAlign w:val="superscript"/>
              </w:rPr>
              <w:t>a</w:t>
            </w:r>
          </w:p>
        </w:tc>
      </w:tr>
    </w:tbl>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before="53"/>
        <w:ind w:left="220" w:right="349" w:firstLine="0"/>
        <w:jc w:val="left"/>
        <w:rPr>
          <w:sz w:val="20"/>
        </w:rPr>
      </w:pPr>
      <w:r>
        <w:rPr>
          <w:rFonts w:ascii="Arial" w:hAnsi="Arial" w:cs="Arial" w:eastAsia="Arial"/>
          <w:sz w:val="20"/>
        </w:rPr>
        <w:t>AUC</w:t>
      </w:r>
      <w:r>
        <w:rPr>
          <w:rFonts w:ascii="Arial" w:hAnsi="Arial" w:cs="Arial" w:eastAsia="Arial"/>
          <w:sz w:val="20"/>
          <w:vertAlign w:val="subscript"/>
        </w:rPr>
        <w:t>(0-24)</w:t>
      </w:r>
      <w:r>
        <w:rPr>
          <w:rFonts w:ascii="Arial" w:hAnsi="Arial" w:cs="Arial" w:eastAsia="Arial"/>
          <w:sz w:val="20"/>
          <w:vertAlign w:val="baseline"/>
        </w:rPr>
        <w:t xml:space="preserve">  = area under the concentration-time curve from 0 time to fixed time 24 hours; AUC</w:t>
      </w:r>
      <w:r>
        <w:rPr>
          <w:rFonts w:ascii="Arial" w:hAnsi="Arial" w:cs="Arial" w:eastAsia="Arial"/>
          <w:sz w:val="20"/>
          <w:vertAlign w:val="subscript"/>
        </w:rPr>
        <w:t>(0-inf)</w:t>
      </w:r>
      <w:r>
        <w:rPr>
          <w:rFonts w:ascii="Arial" w:hAnsi="Arial" w:cs="Arial" w:eastAsia="Arial"/>
          <w:sz w:val="20"/>
          <w:vertAlign w:val="baseline"/>
        </w:rPr>
        <w:t xml:space="preserve">  </w:t>
      </w:r>
      <w:r>
        <w:rPr>
          <w:rFonts w:ascii="Arial" w:hAnsi="Arial" w:cs="Arial" w:eastAsia="Arial"/>
          <w:sz w:val="20"/>
          <w:vertAlign w:val="subscript"/>
        </w:rPr>
        <w:t xml:space="preserve">  =</w:t>
      </w:r>
      <w:r>
        <w:rPr>
          <w:rFonts w:ascii="Arial" w:hAnsi="Arial" w:cs="Arial" w:eastAsia="Arial"/>
          <w:sz w:val="20"/>
          <w:vertAlign w:val="baseline"/>
        </w:rPr>
        <w:t xml:space="preserve">  area under the concentration-time curve from 0 time extrapolated to infinity time; PK = pharmacokinetics, max = maximum; min = minimum; t</w:t>
      </w:r>
      <w:r>
        <w:rPr>
          <w:rFonts w:ascii="Arial" w:hAnsi="Arial" w:cs="Arial" w:eastAsia="Arial"/>
          <w:sz w:val="20"/>
          <w:vertAlign w:val="subscript"/>
        </w:rPr>
        <w:t>1/2</w:t>
      </w:r>
      <w:r>
        <w:rPr>
          <w:rFonts w:ascii="Arial" w:hAnsi="Arial" w:cs="Arial" w:eastAsia="Arial"/>
          <w:sz w:val="20"/>
          <w:vertAlign w:val="baseline"/>
        </w:rPr>
        <w:t xml:space="preserve">  = terminal elimination phase half-life; t</w:t>
      </w:r>
      <w:r>
        <w:rPr>
          <w:rFonts w:ascii="Arial" w:hAnsi="Arial" w:cs="Arial" w:eastAsia="Arial"/>
          <w:sz w:val="20"/>
          <w:vertAlign w:val="subscript"/>
        </w:rPr>
        <w:t>max</w:t>
      </w:r>
      <w:r>
        <w:rPr>
          <w:rFonts w:ascii="Arial" w:hAnsi="Arial" w:cs="Arial" w:eastAsia="Arial"/>
          <w:sz w:val="20"/>
          <w:vertAlign w:val="baseline"/>
        </w:rPr>
        <w:t xml:space="preserve">  = time at which the highest drug concentration occurs, n/a = not applicable; CV = coefficient of variance.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before="62"/>
        <w:ind w:left="220" w:right="349" w:firstLine="0"/>
        <w:jc w:val="left"/>
        <w:rPr>
          <w:sz w:val="20"/>
        </w:rPr>
      </w:pPr>
      <w:r>
        <w:rPr>
          <w:rFonts w:ascii="Arial" w:hAnsi="Arial" w:cs="Arial" w:eastAsia="Arial"/>
          <w:sz w:val="20"/>
        </w:rPr>
        <w:t>Note: All PK parameters, except t</w:t>
      </w:r>
      <w:r>
        <w:rPr>
          <w:rFonts w:ascii="Arial" w:hAnsi="Arial" w:cs="Arial" w:eastAsia="Arial"/>
          <w:sz w:val="20"/>
          <w:vertAlign w:val="subscript"/>
        </w:rPr>
        <w:t>max</w:t>
      </w:r>
      <w:r>
        <w:rPr>
          <w:rFonts w:ascii="Arial" w:hAnsi="Arial" w:cs="Arial" w:eastAsia="Arial"/>
          <w:sz w:val="20"/>
          <w:vertAlign w:val="baseline"/>
        </w:rPr>
        <w:t>, are presented as geometric mean (%CV). t</w:t>
      </w:r>
      <w:r>
        <w:rPr>
          <w:rFonts w:ascii="Arial" w:hAnsi="Arial" w:cs="Arial" w:eastAsia="Arial"/>
          <w:sz w:val="20"/>
          <w:vertAlign w:val="subscript"/>
        </w:rPr>
        <w:t>max</w:t>
      </w:r>
      <w:r>
        <w:rPr>
          <w:rFonts w:ascii="Arial" w:hAnsi="Arial" w:cs="Arial" w:eastAsia="Arial"/>
          <w:sz w:val="20"/>
          <w:vertAlign w:val="baseline"/>
        </w:rPr>
        <w:t xml:space="preserve">  is presented as median (min, max).</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line="232" w:lineRule="auto" w:before="66"/>
        <w:ind w:left="580" w:right="429" w:hanging="360"/>
        <w:jc w:val="left"/>
        <w:rPr>
          <w:sz w:val="20"/>
        </w:rPr>
      </w:pPr>
      <w:r>
        <w:rPr>
          <w:rFonts w:ascii="Arial" w:hAnsi="Arial" w:cs="Arial" w:eastAsia="Arial"/>
          <w:sz w:val="24"/>
        </w:rPr>
        <w:t>a. </w:t>
      </w:r>
      <w:r>
        <w:rPr>
          <w:rFonts w:ascii="Arial" w:hAnsi="Arial" w:cs="Arial" w:eastAsia="Arial"/>
          <w:sz w:val="20"/>
        </w:rPr>
        <w:t xml:space="preserve">  As of the data cut-off date of 22 May 2018, plasma concentrations of E2730 at 120 mg are available until 24 hours post dose.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20" w:right="800"/>
        <w:jc w:val="both"/>
      </w:pPr>
      <w:r>
        <w:rPr>
          <w:rFonts w:ascii="Arial" w:hAnsi="Arial" w:cs="Arial" w:eastAsia="Arial"/>
        </w:rPr>
        <w:t>After administration of E2730 20 mg, the GM percent of recovered parent drug in urine collected up to 96 hours postdose was 21.8% and a smaller fraction (GM=0.728%) was excreted as M1.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0"/>
        </w:numPr>
        <w:tabs>
          <w:tab w:pos="1419" w:val="left" w:leader="none"/>
          <w:tab w:pos="1420" w:val="left" w:leader="none"/>
        </w:tabs>
        <w:spacing w:line="240" w:lineRule="auto" w:before="0" w:after="0"/>
        <w:ind w:left="1420" w:right="0" w:hanging="1200"/>
        <w:jc w:val="left"/>
        <w:rPr>
          <w:rFonts w:ascii="Arial"/>
          <w:sz w:val="22"/>
        </w:rPr>
      </w:pPr>
      <w:bookmarkStart w:name="7.1.2.2 Safety and Tolerability" w:id="44"/>
      <w:bookmarkEnd w:id="44"/>
      <w:r>
        <w:rPr>
          <w:rFonts w:ascii="Arial" w:hAnsi="Arial" w:cs="Arial" w:eastAsia="Arial"/>
        </w:rPr>
      </w:r>
      <w:bookmarkStart w:name="_bookmark15" w:id="45"/>
      <w:bookmarkEnd w:id="45"/>
      <w:r>
        <w:rPr>
          <w:rFonts w:ascii="Arial" w:hAnsi="Arial" w:cs="Arial" w:eastAsia="Arial"/>
        </w:rPr>
      </w:r>
      <w:bookmarkStart w:name="_bookmark15" w:id="46"/>
      <w:bookmarkEnd w:id="46"/>
      <w:r>
        <w:rPr>
          <w:rFonts w:ascii="Arial" w:hAnsi="Arial" w:cs="Arial" w:eastAsia="Arial"/>
          <w:sz w:val="22"/>
        </w:rPr>
        <w:t>Safet</w:t>
      </w:r>
      <w:r>
        <w:rPr>
          <w:rFonts w:ascii="Arial" w:hAnsi="Arial" w:cs="Arial" w:eastAsia="Arial"/>
          <w:sz w:val="22"/>
        </w:rPr>
        <w:t>y and</w:t>
      </w:r>
      <w:r>
        <w:rPr>
          <w:rFonts w:ascii="Arial" w:hAnsi="Arial" w:cs="Arial" w:eastAsia="Arial"/>
          <w:spacing w:val="-3"/>
          <w:sz w:val="22"/>
        </w:rPr>
        <w:t xml:space="preserve">  </w:t>
      </w:r>
      <w:r>
        <w:rPr>
          <w:rFonts w:ascii="Arial" w:hAnsi="Arial" w:cs="Arial" w:eastAsia="Arial"/>
          <w:sz w:val="22"/>
        </w:rPr>
        <w:t xml:space="preserve">  Tolerability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49"/>
      </w:pPr>
      <w:r>
        <w:rPr>
          <w:rFonts w:ascii="Arial" w:hAnsi="Arial" w:cs="Arial" w:eastAsia="Arial"/>
        </w:rPr>
        <w:t>E2730 was well tolerated in healthy adult subjects when administered as single oral doses across the dose range of 20 to 120 mg (Study 001 and Study 002). The maximum tolerated dose (MTD) has not yet been reached (Study 002).</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268"/>
      </w:pPr>
      <w:r>
        <w:rPr>
          <w:rFonts w:ascii="Arial" w:hAnsi="Arial" w:cs="Arial" w:eastAsia="Arial"/>
        </w:rPr>
        <w:t>Among 6 subjects who received 20 mg E2730 (Study 001), 1 subject experienced a TEAE (postural orthostatic tachycardia syndrome) on the day of administration.  The event was mild in severity and resolved on the same day without treatment. The investigator judged the event to be related to the study drug. Another subject experienced a TEAE (dizziness) on the day of placebo administration. The event was mild in severity and resolved on the same day without treatment. The investigator judged the event to be related to the study</w:t>
      </w:r>
      <w:r>
        <w:rPr>
          <w:rFonts w:ascii="Arial" w:hAnsi="Arial" w:cs="Arial" w:eastAsia="Arial"/>
          <w:spacing w:val="-16"/>
        </w:rPr>
        <w:t xml:space="preserve">  </w:t>
      </w:r>
      <w:r>
        <w:rPr>
          <w:rFonts w:ascii="Arial" w:hAnsi="Arial" w:cs="Arial" w:eastAsia="Arial"/>
        </w:rPr>
        <w:t xml:space="preserve">  drug.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pPr>
      <w:r>
        <w:rPr>
          <w:rFonts w:ascii="Arial" w:hAnsi="Arial" w:cs="Arial" w:eastAsia="Arial"/>
        </w:rPr>
        <w:t>From the blinded preliminary safety results in 40 mg and 80 mg, 4 subjects experienced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245"/>
      </w:pPr>
      <w:r>
        <w:rPr>
          <w:rFonts w:ascii="Arial" w:hAnsi="Arial" w:cs="Arial" w:eastAsia="Arial"/>
        </w:rPr>
        <w:t>6 TEAEs (sleepiness, insomnia, nausea, drowsiness [2 subjects], and decrease appetite) and 4 subjects experienced 8 TEAEs (orthostatic tachycardia [2 subjects], dermatitis contact, atrioventricular block, dizziness, headache, insomnia, and diarrhea), respectively.  There were no medically significant findings from vital signs in 40 mg and 80 mg</w:t>
      </w:r>
      <w:r>
        <w:rPr>
          <w:rFonts w:ascii="Arial" w:hAnsi="Arial" w:cs="Arial" w:eastAsia="Arial"/>
          <w:spacing w:val="-35"/>
        </w:rPr>
        <w:t xml:space="preserve">  </w:t>
      </w:r>
      <w:r>
        <w:rPr>
          <w:rFonts w:ascii="Arial" w:hAnsi="Arial" w:cs="Arial" w:eastAsia="Arial"/>
        </w:rPr>
        <w:t xml:space="preserve">  cohorts.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20" w:right="230"/>
      </w:pPr>
      <w:r>
        <w:rPr>
          <w:rFonts w:ascii="Arial" w:hAnsi="Arial" w:cs="Arial" w:eastAsia="Arial"/>
        </w:rPr>
        <w:t>In the 120 mg cohort, the safety data have been reviewed through Day 13. Clinically significant findings in vital signs were reported for 2 subjects, which were characterized as AEs of orthostatic tachycardia and hypotension. Both AEs were mild and in both cases, subjects were asymptomatic. There were no deaths or SAEs, and no medically significant findings have been reported from EEG or ECG (no significant QT or QTc prolongations). There have been no clinically significant laboratory abnormalities. There were no epileptiform discharges or clinically significant abnormalities of EEG observed in the 40 mg, 80 mg, or 120 mg dose cohorts.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11"/>
        </w:numPr>
        <w:tabs>
          <w:tab w:pos="939" w:val="left" w:leader="none"/>
          <w:tab w:pos="940" w:val="left" w:leader="none"/>
        </w:tabs>
        <w:spacing w:line="240" w:lineRule="auto" w:before="0" w:after="0"/>
        <w:ind w:left="940" w:right="0" w:hanging="720"/>
        <w:jc w:val="left"/>
      </w:pPr>
      <w:bookmarkStart w:name="7.2 Study Rationale" w:id="47"/>
      <w:bookmarkEnd w:id="47"/>
      <w:r>
        <w:rPr>
          <w:rFonts w:ascii="Arial" w:hAnsi="Arial" w:cs="Arial" w:eastAsia="Arial"/>
          <w:b w:val="0"/>
        </w:rPr>
      </w:r>
      <w:bookmarkStart w:name="_bookmark16" w:id="48"/>
      <w:bookmarkEnd w:id="48"/>
      <w:r>
        <w:rPr>
          <w:rFonts w:ascii="Arial" w:hAnsi="Arial" w:cs="Arial" w:eastAsia="Arial"/>
          <w:b w:val="0"/>
        </w:rPr>
      </w:r>
      <w:bookmarkStart w:name="_bookmark16" w:id="49"/>
      <w:bookmarkEnd w:id="49"/>
      <w:r>
        <w:rPr>
          <w:rFonts w:ascii="Arial" w:hAnsi="Arial" w:cs="Arial" w:eastAsia="Arial"/>
        </w:rPr>
        <w:t>Stu</w:t>
      </w:r>
      <w:r>
        <w:rPr>
          <w:rFonts w:ascii="Arial" w:hAnsi="Arial" w:cs="Arial" w:eastAsia="Arial"/>
        </w:rPr>
        <w:t>dy</w:t>
      </w:r>
      <w:r>
        <w:rPr>
          <w:rFonts w:ascii="Arial" w:hAnsi="Arial" w:cs="Arial" w:eastAsia="Arial"/>
          <w:spacing w:val="-7"/>
        </w:rPr>
        <w:t xml:space="preserve">  </w:t>
      </w:r>
      <w:r>
        <w:rPr>
          <w:rFonts w:ascii="Arial" w:hAnsi="Arial" w:cs="Arial" w:eastAsia="Arial"/>
        </w:rPr>
        <w:t xml:space="preserve">  Rationale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1"/>
        </w:numPr>
        <w:tabs>
          <w:tab w:pos="1179" w:val="left" w:leader="none"/>
          <w:tab w:pos="1180" w:val="left" w:leader="none"/>
        </w:tabs>
        <w:spacing w:line="240" w:lineRule="auto" w:before="241" w:after="0"/>
        <w:ind w:left="1180" w:right="0" w:hanging="960"/>
        <w:jc w:val="left"/>
        <w:rPr>
          <w:rFonts w:ascii="Arial"/>
          <w:sz w:val="24"/>
        </w:rPr>
      </w:pPr>
      <w:bookmarkStart w:name="7.2.1 Photosensitivity Proof of Concept " w:id="50"/>
      <w:bookmarkEnd w:id="50"/>
      <w:r>
        <w:rPr>
          <w:rFonts w:ascii="Arial" w:hAnsi="Arial" w:cs="Arial" w:eastAsia="Arial"/>
        </w:rPr>
      </w:r>
      <w:bookmarkStart w:name="_bookmark17" w:id="51"/>
      <w:bookmarkEnd w:id="51"/>
      <w:r>
        <w:rPr>
          <w:rFonts w:ascii="Arial" w:hAnsi="Arial" w:cs="Arial" w:eastAsia="Arial"/>
        </w:rPr>
      </w:r>
      <w:bookmarkStart w:name="_bookmark17" w:id="52"/>
      <w:bookmarkEnd w:id="52"/>
      <w:r>
        <w:rPr>
          <w:rFonts w:ascii="Arial" w:hAnsi="Arial" w:cs="Arial" w:eastAsia="Arial"/>
          <w:sz w:val="24"/>
        </w:rPr>
        <w:t>Photosensitivity</w:t>
      </w:r>
      <w:r>
        <w:rPr>
          <w:rFonts w:ascii="Arial" w:hAnsi="Arial" w:cs="Arial" w:eastAsia="Arial"/>
          <w:sz w:val="24"/>
        </w:rPr>
        <w:t xml:space="preserve">  Proof of Concept</w:t>
      </w:r>
      <w:r>
        <w:rPr>
          <w:rFonts w:ascii="Arial" w:hAnsi="Arial" w:cs="Arial" w:eastAsia="Arial"/>
          <w:spacing w:val="-1"/>
          <w:sz w:val="24"/>
        </w:rPr>
        <w:t xml:space="preserve">  </w:t>
      </w:r>
      <w:r>
        <w:rPr>
          <w:rFonts w:ascii="Arial" w:hAnsi="Arial" w:cs="Arial" w:eastAsia="Arial"/>
          <w:sz w:val="24"/>
        </w:rPr>
        <w:t xml:space="preserve">  Model</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295"/>
      </w:pPr>
      <w:r>
        <w:rPr>
          <w:rFonts w:ascii="Arial" w:hAnsi="Arial" w:cs="Arial" w:eastAsia="Arial"/>
        </w:rPr>
        <w:t>Patients with epilepsy often have intermittent seizures that occur at variable times. Consequently, studies evaluating new antiseizure medications require that large numbers of subjects be evaluated over several months of treatment to accurately assess treatment effects. In such circumstances, it is extremely useful to conduct a “proof-of-concept” (POC) study, which would screen potential antiseizure agents for possible efficacy before proceeding to lengthy and expensive studies that expose many subjects to a new compound. The photosensitivity POC study design has been used successfully to evaluate potential antiseizure effects of new agents in early stage development in small groups of subjects with photically-induced generalized epileptiform responses on EEG, called photoparoxysmal responses (PPRs).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20" w:right="293"/>
      </w:pPr>
      <w:r>
        <w:rPr>
          <w:rFonts w:ascii="Arial" w:hAnsi="Arial" w:cs="Arial" w:eastAsia="Arial"/>
        </w:rPr>
        <w:t>Photosensitivity describes the ability to produce epileptiform activities in response to photic stimulation. This EEG pattern is called PPR. Some subjects who are photosensitive have photosensitive epilepsy, and may have clinical events in response to photic stimulation. This response is also characterized as “reflex epilepsy” in the small group of subjects with epilepsy who have seizures in response to photic stimulation in the absence of adequate treatment. Many other subjects will have PPR demonstrated only as an EEG pattern.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242"/>
      </w:pPr>
      <w:r>
        <w:rPr>
          <w:rFonts w:ascii="Arial" w:hAnsi="Arial" w:cs="Arial" w:eastAsia="Arial"/>
        </w:rPr>
        <w:t>Photosensitivity is typically a genetic trait with a Mendelian autosomal dominant pattern. When associated with epilepsy, the epilepsy type will almost always be classified as generalized idiopathic epilepsy, and the clinical seizure semiology will be characterized by absence, generalized tonic-clonic, or myoclonic seizures. Any of these 3 generalized seizure types can be precipitated by photic stimulation.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263"/>
      </w:pPr>
      <w:r>
        <w:rPr>
          <w:rFonts w:ascii="Arial" w:hAnsi="Arial" w:cs="Arial" w:eastAsia="Arial"/>
        </w:rPr>
        <w:t>In the photosensitivity study design model, subjects who have PPR in response to flickering diffuse white light are included. A photosensitivity range for each subject can be determined by eliciting the upper and lower limits of sensitivity to intermittent photic stimulation (IPS) in order not to evoke seizures for that particular subject. Subjects are usually sensitive to IPS within clearly defined limits of flash frequency (mostly between 10-30 Hz). The photosensitivity range is relatively stable over time for each subject, although it can decrease or be eliminated by the use of</w:t>
      </w:r>
      <w:r>
        <w:rPr>
          <w:rFonts w:ascii="Arial" w:hAnsi="Arial" w:cs="Arial" w:eastAsia="Arial"/>
          <w:spacing w:val="-9"/>
        </w:rPr>
        <w:t xml:space="preserve">  </w:t>
      </w:r>
      <w:r>
        <w:rPr>
          <w:rFonts w:ascii="Arial" w:hAnsi="Arial" w:cs="Arial" w:eastAsia="Arial"/>
        </w:rPr>
        <w:t xml:space="preserve">  AEDs.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256"/>
      </w:pPr>
      <w:r>
        <w:rPr>
          <w:rFonts w:ascii="Arial" w:hAnsi="Arial" w:cs="Arial" w:eastAsia="Arial"/>
        </w:rPr>
        <w:t>This photosensitivity range, defined as the difference between the highest and lowest flash rates that consistently elicit a PPR, can be used as a quantitative measure of photosensitivity and, therefore, epileptogenicity.  In photosensitivity studies, a stable baseline is defined as the baseline at the Screening and Predose treatment periods. Usually during a photosensitivity study, the baseline is stable throughout the study. The photosensitivity range is measured repeatedly (up to 8 times) over the course of a single day, and the range can be measured rapidly (over a 5-minute interval) in an EEG laboratory. Reduction in the photosensitivity range can then be easily quantified after a single dose of an AED. This reduction has been used to demonstrate an antiepileptic effect for a number of AEDs currently marketed or in development, most notably levetiracetam, lamotrigine, brivaracetam, carisbamate, JZP4 (Jazz Pharmaceuticals), YKP3089 (SK Life Sciences), and valproate. This POC model has been successful in identifying multiple drugs in early phase drug development that were subsequently effective in large clinical studies (</w:t>
      </w:r>
      <w:r>
        <w:rPr>
          <w:rFonts w:ascii="Arial" w:hAnsi="Arial" w:cs="Arial" w:eastAsia="Arial"/>
          <w:color w:val="0000FF"/>
        </w:rPr>
        <w:t>French J and Krauss, 2014, Kastelejin-Nolst Trenité, et al, 2007; Kastelejin-Nolst Trenité, et al, 1996; Binnie, et al, 1988; Binnie, et al, 1986a; Binnie, et al, 1986b; Trenité, et al, 2007</w:t>
      </w:r>
      <w:r>
        <w:rPr>
          <w:rFonts w:ascii="Arial" w:hAnsi="Arial" w:cs="Arial" w:eastAsia="Arial"/>
        </w:rPr>
        <w:t>). A few drugs (eg, BCG492) did have a successful POC but did not proceed further due to safety concerns during Phase 3</w:t>
      </w:r>
      <w:r>
        <w:rPr>
          <w:rFonts w:ascii="Arial" w:hAnsi="Arial" w:cs="Arial" w:eastAsia="Arial"/>
          <w:spacing w:val="-2"/>
        </w:rPr>
        <w:t xml:space="preserve">  </w:t>
      </w:r>
      <w:r>
        <w:rPr>
          <w:rFonts w:ascii="Arial" w:hAnsi="Arial" w:cs="Arial" w:eastAsia="Arial"/>
        </w:rPr>
        <w:t xml:space="preserve">  development.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429"/>
      </w:pPr>
      <w:r>
        <w:rPr>
          <w:rFonts w:ascii="Arial" w:hAnsi="Arial" w:cs="Arial" w:eastAsia="Arial"/>
        </w:rPr>
        <w:t>Throughout the study, the flash frequency will be recorded. Three eye conditions (eye closure, eyes open, and eyes closed) per stimulus for assessment purposes will be recorded.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249"/>
      </w:pPr>
      <w:r>
        <w:rPr>
          <w:rFonts w:ascii="Arial" w:hAnsi="Arial" w:cs="Arial" w:eastAsia="Arial"/>
        </w:rPr>
        <w:t>In order to enable discrimination between spontaneous and IPS-evoked discharges, at the start of each study day, ie, Day 1 (Visit 2), Day 22 (Visit 3), and Day 43 (Visit 4), the subject will be assessed for all 3 eye conditions and without any stimulation. Trains of flashes at constant frequency will be delivered for 4 to 6 seconds. Intervals between successive flash trains at a given frequency will last for at least 5 seconds. Determination of the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20" w:right="349"/>
      </w:pPr>
      <w:r>
        <w:rPr>
          <w:rFonts w:ascii="Arial" w:hAnsi="Arial" w:cs="Arial" w:eastAsia="Arial"/>
        </w:rPr>
        <w:t>photosensitivity ranges will be assessed with separate trains of flashes of 4 to 6 seconds duration (or less if generalized epileptic activity occurs). Flashes will be administered at standard frequencies of 2, 5, 8, 10, 13, 15, 18, 20, 23, 25, 30, 40, 50, and 60 Hz.</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20" w:right="309"/>
      </w:pPr>
      <w:r>
        <w:rPr>
          <w:rFonts w:ascii="Arial" w:hAnsi="Arial" w:cs="Arial" w:eastAsia="Arial"/>
        </w:rPr>
        <w:t>At the screening visit, each frequency will be assessed in 3 eye conditions (eye closure, eyes open, and eyes closed) commencing at 2 Hz. As soon as generalized EEG epileptiform activity appears, the stimulation for that particular frequency in that particular eye condition will be instantly terminated. For the other eye conditions, ascending frequencies will be used, until generalized epileptiform activity is seen. This procedure will determine the</w:t>
      </w:r>
      <w:r>
        <w:rPr>
          <w:rFonts w:ascii="Arial" w:hAnsi="Arial" w:cs="Arial" w:eastAsia="Arial"/>
          <w:spacing w:val="-15"/>
        </w:rPr>
        <w:t xml:space="preserve">  </w:t>
      </w:r>
      <w:r>
        <w:rPr>
          <w:rFonts w:ascii="Arial" w:hAnsi="Arial" w:cs="Arial" w:eastAsia="Arial"/>
        </w:rPr>
        <w:t xml:space="preserve">  lower threshold frequencies for each eye condition. Similar assessments will then be carried out starting at 60 Hz and descending through the standard frequencies. To avoid occurrence of a seizure, the stimulator will be turned off immediately if a generalized response is observed, and the sequence will be stopped at that point in that specific eye condition. </w:t>
      </w:r>
      <w:r>
        <w:rPr>
          <w:rFonts w:ascii="Arial" w:hAnsi="Arial" w:cs="Arial" w:eastAsia="Arial"/>
          <w:spacing w:val="-4"/>
        </w:rPr>
        <w:t xml:space="preserve">  In </w:t>
      </w:r>
      <w:r>
        <w:rPr>
          <w:rFonts w:ascii="Arial" w:hAnsi="Arial" w:cs="Arial" w:eastAsia="Arial"/>
        </w:rPr>
        <w:t xml:space="preserve">  this manner, for each eye condition, the upper threshold frequencies are</w:t>
      </w:r>
      <w:r>
        <w:rPr>
          <w:rFonts w:ascii="Arial" w:hAnsi="Arial" w:cs="Arial" w:eastAsia="Arial"/>
          <w:spacing w:val="-2"/>
        </w:rPr>
        <w:t xml:space="preserve">  </w:t>
      </w:r>
      <w:r>
        <w:rPr>
          <w:rFonts w:ascii="Arial" w:hAnsi="Arial" w:cs="Arial" w:eastAsia="Arial"/>
        </w:rPr>
        <w:t xml:space="preserve">  determined.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402"/>
      </w:pPr>
      <w:r>
        <w:rPr>
          <w:rFonts w:ascii="Arial" w:hAnsi="Arial" w:cs="Arial" w:eastAsia="Arial"/>
        </w:rPr>
        <w:t>The combination of lower and upper frequencies gives a total of 3 photosensitivity ranges, 1 per eye condition. If there is any doubt of the interpretation during any of the assessments (for example blinking during the eyes open condition, provoking epileptiform activity) the stimulation in the same eye condition will be repeated. In order to minimize the risk of inducing a seizure, photic stimulation will not be carried out between the upper and</w:t>
      </w:r>
      <w:r>
        <w:rPr>
          <w:rFonts w:ascii="Arial" w:hAnsi="Arial" w:cs="Arial" w:eastAsia="Arial"/>
          <w:spacing w:val="-19"/>
        </w:rPr>
        <w:t xml:space="preserve">  </w:t>
      </w:r>
      <w:r>
        <w:rPr>
          <w:rFonts w:ascii="Arial" w:hAnsi="Arial" w:cs="Arial" w:eastAsia="Arial"/>
        </w:rPr>
        <w:t xml:space="preserve">  lower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49"/>
      </w:pPr>
      <w:r>
        <w:rPr>
          <w:rFonts w:ascii="Arial" w:hAnsi="Arial" w:cs="Arial" w:eastAsia="Arial"/>
        </w:rPr>
        <w:t>thresholds. This method has been found to be the safest, as it prevents elicitation of seizures by avoiding stimulation of the subject at the most sensitive frequencies. The range for each subject will be recorded in the CRF.</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494"/>
      </w:pPr>
      <w:r>
        <w:rPr>
          <w:rFonts w:ascii="Arial" w:hAnsi="Arial" w:cs="Arial" w:eastAsia="Arial"/>
        </w:rPr>
        <w:t>The most sensitive eye condition will be noted during every visit; however, assessments in all 3 eye conditions will be noted.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36"/>
      </w:pPr>
      <w:r>
        <w:rPr>
          <w:rFonts w:ascii="Arial" w:hAnsi="Arial" w:cs="Arial" w:eastAsia="Arial"/>
        </w:rPr>
        <w:t>This study design includes PK/pharmacodynamic (PD) and safety assessments, which will support demonstration of proof of concept and an estimate of an effective dose(s) for further clinical development.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sz w:val="21"/>
        </w:rPr>
      </w:pPr>
    </w:p>
    <w:p>
      <w:r>
        <w:cr/>
      </w:r>
    </w:p>
    <w:p>
      <w:pPr>
        <w:pStyle w:val="Heading1"/>
        <w:keepNext w:val="on"/>
        <w:ind w:left="1"/>
      </w:pPr>
      <w:r>
        <w:rPr>
          <w:rFonts w:ascii="Arial" w:hAnsi="Arial" w:cs="Arial" w:eastAsia="Arial"/>
          <w:b w:val="true"/>
          <w:sz w:val="26"/>
        </w:rPr>
        <w:t xml:space="preserve">8. </w:t>
        <w:t>STUDY OBJECTIVES</w:t>
      </w:r>
      <w:bookmarkStart w:name="_STUDY_OBJECTIVES" w:id="1262"/>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12"/>
        </w:numPr>
        <w:tabs>
          <w:tab w:pos="939" w:val="left" w:leader="none"/>
          <w:tab w:pos="940" w:val="left" w:leader="none"/>
        </w:tabs>
        <w:spacing w:line="240" w:lineRule="auto" w:before="240" w:after="0"/>
        <w:ind w:left="940" w:right="0" w:hanging="720"/>
        <w:jc w:val="left"/>
      </w:pPr>
      <w:bookmarkStart w:name="8.1 Primary Objective" w:id="56"/>
      <w:bookmarkEnd w:id="56"/>
      <w:r>
        <w:rPr>
          <w:rFonts w:ascii="Arial" w:hAnsi="Arial" w:cs="Arial" w:eastAsia="Arial"/>
          <w:b w:val="0"/>
        </w:rPr>
      </w:r>
      <w:bookmarkStart w:name="_bookmark19" w:id="57"/>
      <w:bookmarkEnd w:id="57"/>
      <w:r>
        <w:rPr>
          <w:rFonts w:ascii="Arial" w:hAnsi="Arial" w:cs="Arial" w:eastAsia="Arial"/>
          <w:b w:val="0"/>
        </w:rPr>
      </w:r>
      <w:bookmarkStart w:name="_bookmark19" w:id="58"/>
      <w:bookmarkEnd w:id="58"/>
      <w:r>
        <w:rPr>
          <w:rFonts w:ascii="Arial" w:hAnsi="Arial" w:cs="Arial" w:eastAsia="Arial"/>
        </w:rPr>
        <w:t>Primary</w:t>
      </w:r>
      <w:r>
        <w:rPr>
          <w:rFonts w:ascii="Arial" w:hAnsi="Arial" w:cs="Arial" w:eastAsia="Arial"/>
          <w:spacing w:val="-6"/>
        </w:rPr>
        <w:t xml:space="preserve">  </w:t>
      </w:r>
      <w:r>
        <w:rPr>
          <w:rFonts w:ascii="Arial" w:hAnsi="Arial" w:cs="Arial" w:eastAsia="Arial"/>
        </w:rPr>
        <w:t xml:space="preserve">  Objective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4"/>
        <w:ind w:left="220" w:right="775"/>
      </w:pPr>
      <w:r>
        <w:rPr>
          <w:rFonts w:ascii="Arial" w:hAnsi="Arial" w:cs="Arial" w:eastAsia="Arial"/>
        </w:rPr>
        <w:t>The primary objective of the study is to assess the PD activity of E2730 as measured by suppression of epileptic PPR in the subject’s most sensitive eye condition as a proof of principle of efficacy in subjects with photosensitive epilepsy.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12"/>
        </w:numPr>
        <w:tabs>
          <w:tab w:pos="939" w:val="left" w:leader="none"/>
          <w:tab w:pos="940" w:val="left" w:leader="none"/>
        </w:tabs>
        <w:spacing w:line="240" w:lineRule="auto" w:before="0" w:after="0"/>
        <w:ind w:left="940" w:right="0" w:hanging="720"/>
        <w:jc w:val="left"/>
      </w:pPr>
      <w:bookmarkStart w:name="8.2 Secondary Objectives" w:id="59"/>
      <w:bookmarkEnd w:id="59"/>
      <w:r>
        <w:rPr>
          <w:rFonts w:ascii="Arial" w:hAnsi="Arial" w:cs="Arial" w:eastAsia="Arial"/>
          <w:b w:val="0"/>
        </w:rPr>
      </w:r>
      <w:bookmarkStart w:name="_bookmark20" w:id="60"/>
      <w:bookmarkEnd w:id="60"/>
      <w:r>
        <w:rPr>
          <w:rFonts w:ascii="Arial" w:hAnsi="Arial" w:cs="Arial" w:eastAsia="Arial"/>
          <w:b w:val="0"/>
        </w:rPr>
      </w:r>
      <w:bookmarkStart w:name="_bookmark20" w:id="61"/>
      <w:bookmarkEnd w:id="61"/>
      <w:r>
        <w:rPr>
          <w:rFonts w:ascii="Arial" w:hAnsi="Arial" w:cs="Arial" w:eastAsia="Arial"/>
        </w:rPr>
        <w:t>Secondary</w:t>
      </w:r>
      <w:r>
        <w:rPr>
          <w:rFonts w:ascii="Arial" w:hAnsi="Arial" w:cs="Arial" w:eastAsia="Arial"/>
          <w:spacing w:val="-6"/>
        </w:rPr>
        <w:t xml:space="preserve">  </w:t>
      </w:r>
      <w:r>
        <w:rPr>
          <w:rFonts w:ascii="Arial" w:hAnsi="Arial" w:cs="Arial" w:eastAsia="Arial"/>
        </w:rPr>
        <w:t xml:space="preserve">  Objectives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20"/>
      </w:pPr>
      <w:r>
        <w:rPr>
          <w:rFonts w:ascii="Arial" w:hAnsi="Arial" w:cs="Arial" w:eastAsia="Arial"/>
        </w:rPr>
        <w:t>The secondary objectives of the study are: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2"/>
        </w:numPr>
        <w:tabs>
          <w:tab w:pos="939" w:val="left" w:leader="none"/>
          <w:tab w:pos="940" w:val="left" w:leader="none"/>
        </w:tabs>
        <w:spacing w:line="240" w:lineRule="auto" w:before="1" w:after="0"/>
        <w:ind w:left="940" w:right="486" w:hanging="360"/>
        <w:jc w:val="left"/>
        <w:rPr>
          <w:sz w:val="24"/>
        </w:rPr>
      </w:pPr>
      <w:r>
        <w:rPr>
          <w:rFonts w:ascii="Arial" w:hAnsi="Arial" w:cs="Arial" w:eastAsia="Arial"/>
          <w:sz w:val="24"/>
        </w:rPr>
        <w:t>To assess the PD activity of E2730 as measured by suppression of epileptic PPR, onset, maximum change, and duration of response in 3 eye-conditions (eye closure, eyes closed, and eyes open) in subjects with photosensitive</w:t>
      </w:r>
      <w:r>
        <w:rPr>
          <w:rFonts w:ascii="Arial" w:hAnsi="Arial" w:cs="Arial" w:eastAsia="Arial"/>
          <w:spacing w:val="-7"/>
          <w:sz w:val="24"/>
        </w:rPr>
        <w:t xml:space="preserve">  </w:t>
      </w:r>
      <w:r>
        <w:rPr>
          <w:rFonts w:ascii="Arial" w:hAnsi="Arial" w:cs="Arial" w:eastAsia="Arial"/>
          <w:sz w:val="24"/>
        </w:rPr>
        <w:t xml:space="preserve">  epilepsy.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2"/>
        </w:numPr>
        <w:tabs>
          <w:tab w:pos="939" w:val="left" w:leader="none"/>
          <w:tab w:pos="940" w:val="left" w:leader="none"/>
        </w:tabs>
        <w:spacing w:line="240" w:lineRule="auto" w:before="80" w:after="0"/>
        <w:ind w:left="940" w:right="326" w:hanging="360"/>
        <w:jc w:val="left"/>
        <w:rPr>
          <w:sz w:val="24"/>
        </w:rPr>
      </w:pPr>
      <w:r>
        <w:rPr>
          <w:rFonts w:ascii="Arial" w:hAnsi="Arial" w:cs="Arial" w:eastAsia="Arial"/>
          <w:sz w:val="24"/>
        </w:rPr>
        <w:t>To assess the safety and tolerability of E2730 following a single oral dose in subjects with photosensitive</w:t>
      </w:r>
      <w:r>
        <w:rPr>
          <w:rFonts w:ascii="Arial" w:hAnsi="Arial" w:cs="Arial" w:eastAsia="Arial"/>
          <w:spacing w:val="-1"/>
          <w:sz w:val="24"/>
        </w:rPr>
        <w:t xml:space="preserve">  </w:t>
      </w:r>
      <w:r>
        <w:rPr>
          <w:rFonts w:ascii="Arial" w:hAnsi="Arial" w:cs="Arial" w:eastAsia="Arial"/>
          <w:sz w:val="24"/>
        </w:rPr>
        <w:t xml:space="preserve">  epilepsy.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2"/>
        </w:numPr>
        <w:tabs>
          <w:tab w:pos="939" w:val="left" w:leader="none"/>
          <w:tab w:pos="940" w:val="left" w:leader="none"/>
        </w:tabs>
        <w:spacing w:line="240" w:lineRule="auto" w:before="60" w:after="0"/>
        <w:ind w:left="940" w:right="1624" w:hanging="360"/>
        <w:jc w:val="left"/>
        <w:rPr>
          <w:sz w:val="24"/>
        </w:rPr>
      </w:pPr>
      <w:r>
        <w:rPr>
          <w:rFonts w:ascii="Arial" w:hAnsi="Arial" w:cs="Arial" w:eastAsia="Arial"/>
          <w:sz w:val="24"/>
        </w:rPr>
        <w:t>To assess the PK of E2730 following a single oral dose in subjects with photosensitive</w:t>
      </w:r>
      <w:r>
        <w:rPr>
          <w:rFonts w:ascii="Arial" w:hAnsi="Arial" w:cs="Arial" w:eastAsia="Arial"/>
          <w:spacing w:val="-1"/>
          <w:sz w:val="24"/>
        </w:rPr>
        <w:t xml:space="preserve">  </w:t>
      </w:r>
      <w:r>
        <w:rPr>
          <w:rFonts w:ascii="Arial" w:hAnsi="Arial" w:cs="Arial" w:eastAsia="Arial"/>
          <w:sz w:val="24"/>
        </w:rPr>
        <w:t xml:space="preserve">  epilepsy.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2"/>
        </w:numPr>
        <w:tabs>
          <w:tab w:pos="939" w:val="left" w:leader="none"/>
          <w:tab w:pos="940" w:val="left" w:leader="none"/>
        </w:tabs>
        <w:spacing w:line="240" w:lineRule="auto" w:before="60" w:after="0"/>
        <w:ind w:left="940" w:right="0" w:hanging="360"/>
        <w:jc w:val="left"/>
        <w:rPr>
          <w:sz w:val="24"/>
        </w:rPr>
      </w:pPr>
      <w:r>
        <w:rPr>
          <w:rFonts w:ascii="Arial" w:hAnsi="Arial" w:cs="Arial" w:eastAsia="Arial"/>
          <w:sz w:val="24"/>
        </w:rPr>
        <w:t>To evaluate potential exposure-PD response</w:t>
      </w:r>
      <w:r>
        <w:rPr>
          <w:rFonts w:ascii="Arial" w:hAnsi="Arial" w:cs="Arial" w:eastAsia="Arial"/>
          <w:spacing w:val="-2"/>
          <w:sz w:val="24"/>
        </w:rPr>
        <w:t xml:space="preserve">  </w:t>
      </w:r>
      <w:r>
        <w:rPr>
          <w:rFonts w:ascii="Arial" w:hAnsi="Arial" w:cs="Arial" w:eastAsia="Arial"/>
          <w:sz w:val="24"/>
        </w:rPr>
        <w:t xml:space="preserve">  relationships.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12"/>
        </w:numPr>
        <w:tabs>
          <w:tab w:pos="939" w:val="left" w:leader="none"/>
          <w:tab w:pos="940" w:val="left" w:leader="none"/>
        </w:tabs>
        <w:spacing w:line="240" w:lineRule="auto" w:before="0" w:after="0"/>
        <w:ind w:left="940" w:right="0" w:hanging="720"/>
        <w:jc w:val="left"/>
      </w:pPr>
      <w:bookmarkStart w:name="8.3 Exploratory Objective" w:id="62"/>
      <w:bookmarkEnd w:id="62"/>
      <w:r>
        <w:rPr>
          <w:rFonts w:ascii="Arial" w:hAnsi="Arial" w:cs="Arial" w:eastAsia="Arial"/>
          <w:b w:val="0"/>
        </w:rPr>
      </w:r>
      <w:bookmarkStart w:name="_bookmark21" w:id="63"/>
      <w:bookmarkEnd w:id="63"/>
      <w:r>
        <w:rPr>
          <w:rFonts w:ascii="Arial" w:hAnsi="Arial" w:cs="Arial" w:eastAsia="Arial"/>
          <w:b w:val="0"/>
        </w:rPr>
      </w:r>
      <w:bookmarkStart w:name="_bookmark21" w:id="64"/>
      <w:bookmarkEnd w:id="64"/>
      <w:r>
        <w:rPr>
          <w:rFonts w:ascii="Arial" w:hAnsi="Arial" w:cs="Arial" w:eastAsia="Arial"/>
        </w:rPr>
        <w:t>Exploratory</w:t>
      </w:r>
      <w:r>
        <w:rPr>
          <w:rFonts w:ascii="Arial" w:hAnsi="Arial" w:cs="Arial" w:eastAsia="Arial"/>
          <w:spacing w:val="-6"/>
        </w:rPr>
        <w:t xml:space="preserve">  </w:t>
      </w:r>
      <w:r>
        <w:rPr>
          <w:rFonts w:ascii="Arial" w:hAnsi="Arial" w:cs="Arial" w:eastAsia="Arial"/>
        </w:rPr>
        <w:t xml:space="preserve">  Objective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20" w:right="250"/>
      </w:pPr>
      <w:r>
        <w:rPr>
          <w:rFonts w:ascii="Arial" w:hAnsi="Arial" w:cs="Arial" w:eastAsia="Arial"/>
        </w:rPr>
        <w:t>The exploratory objective of the study is to collect PGx samples for exploratory investigation of heterogeneity in drug response and clinical features of disease.  These exploratory analyses are not limited to this protocol or project. These findings may be used for identification and validation of new drug</w:t>
      </w:r>
      <w:r>
        <w:rPr>
          <w:rFonts w:ascii="Arial" w:hAnsi="Arial" w:cs="Arial" w:eastAsia="Arial"/>
          <w:spacing w:val="-1"/>
        </w:rPr>
        <w:t xml:space="preserve">  </w:t>
      </w:r>
      <w:r>
        <w:rPr>
          <w:rFonts w:ascii="Arial" w:hAnsi="Arial" w:cs="Arial" w:eastAsia="Arial"/>
        </w:rPr>
        <w:t xml:space="preserve">  targets.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rPr>
          <w:sz w:val="21"/>
        </w:rPr>
      </w:pPr>
    </w:p>
    <w:p>
      <w:r>
        <w:cr/>
      </w:r>
    </w:p>
    <w:p>
      <w:pPr>
        <w:pStyle w:val="Heading1"/>
        <w:keepNext w:val="on"/>
        <w:ind w:left="1"/>
      </w:pPr>
      <w:r>
        <w:rPr>
          <w:rFonts w:ascii="Arial" w:hAnsi="Arial" w:cs="Arial" w:eastAsia="Arial"/>
          <w:b w:val="true"/>
          <w:sz w:val="26"/>
        </w:rPr>
        <w:t xml:space="preserve">9. </w:t>
        <w:t>INVESTIGATIONAL PLAN</w:t>
      </w:r>
      <w:bookmarkStart w:name="_INVESTIGATIONAL_PLAN" w:id="1263"/>
    </w:p>
    <w:p>
      <w:pPr>
        <w:pStyle w:val="Heading3"/>
        <w:keepNext w:val="on"/>
        <w:ind w:left="2"/>
      </w:pPr>
      <w:r>
        <w:rPr>
          <w:rFonts w:ascii="Arial" w:hAnsi="Arial" w:cs="Arial" w:eastAsia="Arial"/>
          <w:b w:val="true"/>
          <w:color w:val="ffc800"/>
          <w:sz w:val="24"/>
        </w:rPr>
        <w:t xml:space="preserve">  9.1 </w:t>
        <w:t>OVERALL STUDY DESIGN AND PLAN</w:t>
      </w:r>
      <w:bookmarkStart w:name="_OVERALL_STUDY_DESIGN_AND_PLAN" w:id="1264"/>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4"/>
        <w:ind w:left="220" w:right="222"/>
      </w:pPr>
      <w:r>
        <w:rPr>
          <w:rFonts w:ascii="Arial" w:hAnsi="Arial" w:cs="Arial" w:eastAsia="Arial"/>
        </w:rPr>
        <w:t>This is a multicenter, double-blind, randomized, 6-sequence, 3-treatment, 3-period cross-over study in adult subjects with epilepsy. This study will use the photosensitivity proof of principle model to determine the potential of E2730 to reduce the photosensitive range in adult subjects. This study will have 2 phases: Prerandomization and Randomization. The Prerandomization Phase will consist of a Screening Period (up to 3 weeks), during which each subject’s study eligibility will be determined and baseline assessments will be conducted. The Randomization Phase will consist of 3 Treatment Periods with a single dose in each period (placebo, E2730 40 mg, or E2730 120 mg, each separated by a 3-week</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90"/>
      </w:pPr>
      <w:r>
        <w:rPr>
          <w:rFonts w:ascii="Arial" w:hAnsi="Arial" w:cs="Arial" w:eastAsia="Arial"/>
        </w:rPr>
        <w:t>(±3 days) washout interval for a total of approximately 6 weeks), and a Follow-up Period (a single visit, 3 weeks ±3 days after the last day of study product administration). All visits will be conducted on an outpatient basis.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pPr>
      <w:r>
        <w:rPr>
          <w:rFonts w:ascii="Arial" w:hAnsi="Arial" w:cs="Arial" w:eastAsia="Arial"/>
        </w:rPr>
        <w:t>An overview of the study design is presented in </w:t>
      </w:r>
      <w:hyperlink w:history="true" w:anchor="_bookmark24">
        <w:r>
          <w:rPr>
            <w:rFonts w:ascii="Arial" w:hAnsi="Arial" w:cs="Arial" w:eastAsia="Arial"/>
            <w:color w:val="0000FF"/>
          </w:rPr>
          <w:t xml:space="preserve">  Figure 1</w:t>
        </w:r>
      </w:hyperlink>
      <w:r>
        <w:rPr>
          <w:rFonts w:ascii="Arial" w:hAnsi="Arial" w:cs="Arial" w:eastAsia="Arial"/>
        </w:rPr>
        <w: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6"/>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12"/>
        <w:rPr>
          <w:sz w:val="20"/>
        </w:rPr>
      </w:pPr>
      <w:r>
        <w:rPr>
          <w:rFonts w:ascii="Arial" w:hAnsi="Arial" w:cs="Arial" w:eastAsia="Arial"/>
          <w:sz w:val="20"/>
        </w:rPr>
        <w:pict>
          <v:group style="width:450.85pt;height:272.650pt;mso-position-horizontal-relative:char;mso-position-vertical-relative:line" coordorigin="0,0" coordsize="9017,5453">
            <v:shape style="position:absolute;left:0;top:0;width:9017;height:5453" coordorigin="0,0" coordsize="9017,5453" path="m9017,0l0,0,0,5453,9017,5453,9017,5446,17,5446,7,5438,17,5438,17,17,7,17,17,7,9017,7,9017,0xm17,5438l7,5438,17,5446,17,5438xm9000,5438l17,5438,17,5446,9000,5446,9000,5438xm9000,7l9000,5446,9007,5438,9017,5438,9017,17,9007,17,9000,7xm9017,5438l9007,5438,9000,5446,9017,5446,9017,5438xm17,7l7,17,17,17,17,7xm9000,7l17,7,17,17,9000,17,9000,7xm9017,7l9000,7,9007,17,9017,17,9017,7xe" filled="true" fillcolor="#000000" stroked="false">
              <v:path arrowok="t"/>
              <v:fill type="solid"/>
            </v:shape>
            <v:line style="position:absolute" from="3202,31" to="3202,2890" stroked="true" strokeweight=".72pt" strokecolor="#000000">
              <v:stroke dashstyle="solid"/>
            </v:line>
            <v:line style="position:absolute" from="3202,3250" to="3202,4464" stroked="true" strokeweight=".72pt" strokecolor="#000000">
              <v:stroke dashstyle="solid"/>
            </v:line>
            <v:rect style="position:absolute;left:3019;top:2889;width:483;height:360" filled="true" fillcolor="#ffffff" stroked="false">
              <v:fill type="solid"/>
            </v:rect>
            <v:shape style="position:absolute;left:3012;top:2882;width:497;height:375" coordorigin="3012,2882" coordsize="497,375" path="m3509,2882l3012,2882,3012,3257,3509,3257,3509,3250,3026,3250,3019,3242,3026,3242,3026,2897,3019,2897,3026,2890,3509,2890,3509,2882xm3026,3242l3019,3242,3026,3250,3026,3242xm3494,3242l3026,3242,3026,3250,3494,3250,3494,3242xm3494,2890l3494,3250,3502,3242,3509,3242,3509,2897,3502,2897,3494,2890xm3509,3242l3502,3242,3494,3250,3509,3250,3509,3242xm3026,2890l3019,2897,3026,2897,3026,2890xm3494,2890l3026,2890,3026,2897,3494,2897,3494,2890xm3509,2890l3494,2890,3502,2897,3509,2897,3509,2890xe" filled="true" fillcolor="#000000" stroked="false">
              <v:path arrowok="t"/>
              <v:fill type="solid"/>
            </v:shape>
            <v:shape style="position:absolute;left:8236;top:4022;width:128;height:128" coordorigin="8237,4022" coordsize="128,128" path="m8323,4022l8237,4106,8364,4150,8323,4022xe" filled="true" fillcolor="#000000" stroked="false">
              <v:path arrowok="t"/>
              <v:fill type="solid"/>
            </v:shape>
            <v:shape style="position:absolute;left:792;top:463;width:2410;height:120" coordorigin="792,463" coordsize="2410,120" path="m912,463l792,523,912,583,912,530,893,530,893,516,912,516,912,463xm3082,463l3082,583,3187,530,3101,530,3101,516,3187,516,3082,463xm912,516l893,516,893,530,912,530,912,516xm3082,516l912,516,912,530,3082,530,3082,516xm3187,516l3101,516,3101,530,3187,530,3202,523,3187,516xe" filled="true" fillcolor="#000000" stroked="false">
              <v:path arrowok="t"/>
              <v:fill type="solid"/>
            </v:shape>
            <v:shape style="position:absolute;left:3225;top:465;width:5321;height:123" coordorigin="3226,466" coordsize="5321,123" path="m3346,468l3226,528,3346,588,3346,535,3324,535,3324,521,3346,521,3346,468xm8545,518l8486,518,8486,533,8428,533,8431,549,8444,568,8463,581,8486,586,8510,581,8529,568,8542,549,8546,526,8545,518xm3346,521l3324,521,3324,535,3346,535,3346,521xm3346,535l3324,535,3346,535,3346,535xm8428,518l3346,521,3346,535,8428,533,8426,526,8428,518xm8486,518l8428,518,8426,526,8428,533,8486,533,8486,518xm8486,466l8463,470,8444,483,8431,502,8428,518,8545,518,8542,502,8529,483,8510,470,8486,466xe" filled="true" fillcolor="#000000" stroked="false">
              <v:path arrowok="t"/>
              <v:fill type="solid"/>
            </v:shape>
            <v:line style="position:absolute" from="8788,17" to="8788,4450" stroked="true" strokeweight=".84pt" strokecolor="#000000">
              <v:stroke dashstyle="solid"/>
            </v:line>
            <v:shape style="position:absolute;left:3225;top:861;width:1510;height:120" coordorigin="3226,862" coordsize="1510,120" path="m3346,862l3226,922,3346,982,3346,931,3324,931,3324,914,3346,914,3346,862xm4615,862l4615,982,4716,931,4634,931,4634,914,4721,914,4615,862xm3346,914l3324,914,3324,931,3346,931,3346,914xm4615,914l3346,914,3346,931,4615,931,4615,914xm4721,914l4634,914,4634,931,4716,931,4735,922,4721,914xe" filled="true" fillcolor="#000000" stroked="false">
              <v:path arrowok="t"/>
              <v:fill type="solid"/>
            </v:shape>
            <v:line style="position:absolute" from="792,7" to="792,4445" stroked="true" strokeweight=".72pt" strokecolor="#000000">
              <v:stroke dashstyle="solid"/>
            </v:line>
            <v:line style="position:absolute" from="4817,895" to="4817,4392" stroked="true" strokeweight=".96pt" strokecolor="#000000">
              <v:stroke dashstyle="solid"/>
            </v:line>
            <v:line style="position:absolute" from="6252,948" to="6252,4445" stroked="true" strokeweight=".96pt" strokecolor="#000000">
              <v:stroke dashstyle="solid"/>
            </v:line>
            <v:line style="position:absolute" from="7831,922" to="7831,4418" stroked="true" strokeweight=".96pt" strokecolor="#000000">
              <v:stroke dashstyle="solid"/>
            </v:line>
            <v:shape style="position:absolute;left:4735;top:859;width:1515;height:123" coordorigin="4735,859" coordsize="1515,123" path="m4855,862l4735,922,4855,982,4855,929,4836,929,4836,914,4855,914,4855,914,4855,862xm6151,912l6130,912,6130,979,6230,929,6151,929,6151,912xm6130,912l4836,914,4836,929,4855,929,4855,914,6130,914,6130,912xm6130,914l4855,914,4855,929,6130,929,6130,914xm6235,912l6151,912,6151,929,6230,929,6250,919,6235,912xm6130,859l6130,912,6235,912,6130,859xe" filled="true" fillcolor="#000000" stroked="false">
              <v:path arrowok="t"/>
              <v:fill type="solid"/>
            </v:shape>
            <v:shape style="position:absolute;left:6249;top:859;width:1527;height:123" coordorigin="6250,859" coordsize="1527,123" path="m6370,862l6250,922,6370,982,6370,929,6350,929,6350,914,6370,914,6370,862xm7678,912l7656,912,7656,979,7757,929,7678,929,7678,912xm6370,914l6350,914,6350,929,6370,929,6370,914xm7656,912l6370,914,6370,929,7656,929,7656,912xm7762,912l7678,912,7678,929,7757,929,7776,919,7762,912xm7656,859l7656,912,7762,912,7656,859xe" filled="true" fillcolor="#000000" stroked="false">
              <v:path arrowok="t"/>
              <v:fill type="solid"/>
            </v:shape>
            <v:shape style="position:absolute;left:7752;top:859;width:797;height:123" coordorigin="7752,859" coordsize="797,123" path="m7872,862l7752,922,7874,982,7873,929,7853,929,7853,914,7873,914,7872,862xm8547,912l8489,912,8489,926,8430,927,8433,943,8446,962,8465,975,8489,979,8512,975,8531,962,8544,943,8549,919,8547,912xm7873,914l7853,914,7853,929,7873,929,7873,914xm7873,929l7853,929,7873,929,7873,929xm8430,912l7873,914,7873,929,8430,927,8429,919,8430,912xm8489,912l8430,912,8429,919,8430,927,8489,926,8489,912xm8489,859l8465,864,8446,877,8433,897,8430,912,8547,912,8544,896,8531,877,8512,864,8489,859xe" filled="true" fillcolor="#000000" stroked="false">
              <v:path arrowok="t"/>
              <v:fill type="solid"/>
            </v:shape>
            <v:shape style="position:absolute;left:122;top:155;width:504;height:189" type="#_x0000_t202" filled="false" stroked="false">
              <v:textbox inset="0,0,0,0">
                <w:txbxContent>
                  <w:p>
                    <w:pPr>
                      <w:spacing w:line="189" w:lineRule="exact" w:before="0"/>
                      <w:ind w:left="0" w:right="0" w:firstLine="0"/>
                      <w:jc w:val="left"/>
                      <w:rPr>
                        <w:b/>
                        <w:sz w:val="17"/>
                      </w:rPr>
                    </w:pPr>
                    <w:r>
                      <w:rPr>
                        <w:b/>
                        <w:sz w:val="17"/>
                        <w:shd w:fill="FFFFFF" w:color="auto" w:val="clear"/>
                      </w:rPr>
                      <w:t>Phase:</w:t>
                    </w:r>
                  </w:p>
                </w:txbxContent>
              </v:textbox>
              <w10:wrap type="none"/>
            </v:shape>
            <v:shape style="position:absolute;left:1320;top:150;width:1344;height:189" type="#_x0000_t202" filled="false" stroked="false">
              <v:textbox inset="0,0,0,0">
                <w:txbxContent>
                  <w:p>
                    <w:pPr>
                      <w:spacing w:line="189" w:lineRule="exact" w:before="0"/>
                      <w:ind w:left="0" w:right="0" w:firstLine="0"/>
                      <w:jc w:val="left"/>
                      <w:rPr>
                        <w:b/>
                        <w:sz w:val="17"/>
                      </w:rPr>
                    </w:pPr>
                    <w:r>
                      <w:rPr>
                        <w:b/>
                        <w:sz w:val="17"/>
                      </w:rPr>
                      <w:t>Prerandomization</w:t>
                    </w:r>
                  </w:p>
                </w:txbxContent>
              </v:textbox>
              <w10:wrap type="none"/>
            </v:shape>
            <v:shape style="position:absolute;left:5296;top:37;width:1291;height:427" type="#_x0000_t202" filled="false" stroked="false">
              <v:textbox inset="0,0,0,0">
                <w:txbxContent>
                  <w:p>
                    <w:pPr>
                      <w:spacing w:line="189" w:lineRule="exact" w:before="0"/>
                      <w:ind w:left="153" w:right="0" w:firstLine="0"/>
                      <w:jc w:val="left"/>
                      <w:rPr>
                        <w:b/>
                        <w:sz w:val="17"/>
                      </w:rPr>
                    </w:pPr>
                    <w:r>
                      <w:rPr>
                        <w:b/>
                        <w:sz w:val="17"/>
                      </w:rPr>
                      <w:t>Randomization</w:t>
                    </w:r>
                  </w:p>
                  <w:p>
                    <w:pPr>
                      <w:spacing w:before="42"/>
                      <w:ind w:left="0" w:right="0" w:firstLine="0"/>
                      <w:jc w:val="left"/>
                      <w:rPr>
                        <w:b/>
                        <w:sz w:val="17"/>
                      </w:rPr>
                    </w:pPr>
                    <w:r>
                      <w:rPr>
                        <w:b/>
                        <w:sz w:val="17"/>
                      </w:rPr>
                      <w:t>Treatment</w:t>
                    </w:r>
                  </w:p>
                </w:txbxContent>
              </v:textbox>
              <w10:wrap type="none"/>
            </v:shape>
            <v:shape style="position:absolute;left:7939;top:220;width:757;height:189" type="#_x0000_t202" filled="false" stroked="false">
              <v:textbox inset="0,0,0,0">
                <w:txbxContent>
                  <w:p>
                    <w:pPr>
                      <w:spacing w:line="189" w:lineRule="exact" w:before="0"/>
                      <w:ind w:left="0" w:right="0" w:firstLine="0"/>
                      <w:jc w:val="left"/>
                      <w:rPr>
                        <w:b/>
                        <w:sz w:val="17"/>
                      </w:rPr>
                    </w:pPr>
                    <w:r>
                      <w:rPr>
                        <w:b/>
                        <w:sz w:val="17"/>
                      </w:rPr>
                      <w:t>Follow-up</w:t>
                    </w:r>
                  </w:p>
                </w:txbxContent>
              </v:textbox>
              <w10:wrap type="none"/>
            </v:shape>
            <v:shape style="position:absolute;left:122;top:774;width:560;height:189" type="#_x0000_t202" filled="false" stroked="false">
              <v:textbox inset="0,0,0,0">
                <w:txbxContent>
                  <w:p>
                    <w:pPr>
                      <w:spacing w:line="189" w:lineRule="exact" w:before="0"/>
                      <w:ind w:left="0" w:right="0" w:firstLine="0"/>
                      <w:jc w:val="left"/>
                      <w:rPr>
                        <w:b/>
                        <w:sz w:val="17"/>
                      </w:rPr>
                    </w:pPr>
                    <w:r>
                      <w:rPr>
                        <w:b/>
                        <w:sz w:val="17"/>
                      </w:rPr>
                      <w:t>Period:</w:t>
                    </w:r>
                  </w:p>
                </w:txbxContent>
              </v:textbox>
              <w10:wrap type="none"/>
            </v:shape>
            <v:shape style="position:absolute;left:3883;top:647;width:593;height:189" type="#_x0000_t202" filled="false" stroked="false">
              <v:textbox inset="0,0,0,0">
                <w:txbxContent>
                  <w:p>
                    <w:pPr>
                      <w:spacing w:line="189" w:lineRule="exact" w:before="0"/>
                      <w:ind w:left="0" w:right="0" w:firstLine="0"/>
                      <w:jc w:val="left"/>
                      <w:rPr>
                        <w:sz w:val="17"/>
                      </w:rPr>
                    </w:pPr>
                    <w:r>
                      <w:rPr>
                        <w:sz w:val="17"/>
                      </w:rPr>
                      <w:t>Period 1</w:t>
                    </w:r>
                  </w:p>
                </w:txbxContent>
              </v:textbox>
              <w10:wrap type="none"/>
            </v:shape>
            <v:shape style="position:absolute;left:6420;top:683;width:966;height:189" type="#_x0000_t202" filled="false" stroked="false">
              <v:textbox inset="0,0,0,0">
                <w:txbxContent>
                  <w:p>
                    <w:pPr>
                      <w:spacing w:line="189" w:lineRule="exact" w:before="0"/>
                      <w:ind w:left="0" w:right="0" w:firstLine="0"/>
                      <w:jc w:val="left"/>
                      <w:rPr>
                        <w:sz w:val="17"/>
                      </w:rPr>
                    </w:pPr>
                    <w:r>
                      <w:rPr>
                        <w:w w:val="100"/>
                        <w:sz w:val="17"/>
                        <w:shd w:fill="FFFFFF" w:color="auto" w:val="clear"/>
                      </w:rPr>
                      <w:t> </w:t>
                    </w:r>
                    <w:r>
                      <w:rPr>
                        <w:sz w:val="17"/>
                        <w:shd w:fill="FFFFFF" w:color="auto" w:val="clear"/>
                      </w:rPr>
                      <w:t>   Period 3 </w:t>
                    </w:r>
                  </w:p>
                </w:txbxContent>
              </v:textbox>
              <w10:wrap type="none"/>
            </v:shape>
            <v:shape style="position:absolute;left:3412;top:1456;width:580;height:393" type="#_x0000_t202" filled="false" stroked="false">
              <v:textbox inset="0,0,0,0">
                <w:txbxContent>
                  <w:p>
                    <w:pPr>
                      <w:spacing w:line="189" w:lineRule="exact" w:before="0"/>
                      <w:ind w:left="0" w:right="0" w:firstLine="0"/>
                      <w:jc w:val="left"/>
                      <w:rPr>
                        <w:sz w:val="17"/>
                      </w:rPr>
                    </w:pPr>
                    <w:r>
                      <w:rPr>
                        <w:sz w:val="17"/>
                      </w:rPr>
                      <w:t>Trt Pd 1</w:t>
                    </w:r>
                  </w:p>
                  <w:p>
                    <w:pPr>
                      <w:spacing w:before="8"/>
                      <w:ind w:left="36" w:right="0" w:firstLine="0"/>
                      <w:jc w:val="left"/>
                      <w:rPr>
                        <w:sz w:val="17"/>
                      </w:rPr>
                    </w:pPr>
                    <w:r>
                      <w:rPr>
                        <w:sz w:val="17"/>
                      </w:rPr>
                      <w:t>(1 day)</w:t>
                    </w:r>
                  </w:p>
                </w:txbxContent>
              </v:textbox>
              <w10:wrap type="none"/>
            </v:shape>
            <v:shape style="position:absolute;left:4812;top:1470;width:580;height:393" type="#_x0000_t202" filled="false" stroked="false">
              <v:textbox inset="0,0,0,0">
                <w:txbxContent>
                  <w:p>
                    <w:pPr>
                      <w:spacing w:line="189" w:lineRule="exact" w:before="0"/>
                      <w:ind w:left="0" w:right="0" w:firstLine="0"/>
                      <w:jc w:val="left"/>
                      <w:rPr>
                        <w:sz w:val="17"/>
                      </w:rPr>
                    </w:pPr>
                    <w:r>
                      <w:rPr>
                        <w:sz w:val="17"/>
                      </w:rPr>
                      <w:t>Trt Pd 2</w:t>
                    </w:r>
                  </w:p>
                  <w:p>
                    <w:pPr>
                      <w:spacing w:before="8"/>
                      <w:ind w:left="36" w:right="0" w:firstLine="0"/>
                      <w:jc w:val="left"/>
                      <w:rPr>
                        <w:sz w:val="17"/>
                      </w:rPr>
                    </w:pPr>
                    <w:r>
                      <w:rPr>
                        <w:sz w:val="17"/>
                      </w:rPr>
                      <w:t>(1 day)</w:t>
                    </w:r>
                  </w:p>
                </w:txbxContent>
              </v:textbox>
              <w10:wrap type="none"/>
            </v:shape>
            <v:shape style="position:absolute;left:6338;top:1511;width:578;height:386" type="#_x0000_t202" filled="false" stroked="false">
              <v:textbox inset="0,0,0,0">
                <w:txbxContent>
                  <w:p>
                    <w:pPr>
                      <w:spacing w:line="189" w:lineRule="exact" w:before="0"/>
                      <w:ind w:left="0" w:right="0" w:firstLine="0"/>
                      <w:jc w:val="left"/>
                      <w:rPr>
                        <w:sz w:val="17"/>
                      </w:rPr>
                    </w:pPr>
                    <w:r>
                      <w:rPr>
                        <w:sz w:val="17"/>
                      </w:rPr>
                      <w:t>Trt Pd</w:t>
                    </w:r>
                    <w:r>
                      <w:rPr>
                        <w:spacing w:val="-1"/>
                        <w:sz w:val="17"/>
                      </w:rPr>
                      <w:t> </w:t>
                    </w:r>
                    <w:r>
                      <w:rPr>
                        <w:sz w:val="17"/>
                      </w:rPr>
                      <w:t>3</w:t>
                    </w:r>
                  </w:p>
                  <w:p>
                    <w:pPr>
                      <w:spacing w:before="1"/>
                      <w:ind w:left="36" w:right="0" w:firstLine="0"/>
                      <w:jc w:val="left"/>
                      <w:rPr>
                        <w:sz w:val="17"/>
                      </w:rPr>
                    </w:pPr>
                    <w:r>
                      <w:rPr>
                        <w:sz w:val="17"/>
                      </w:rPr>
                      <w:t>(1</w:t>
                    </w:r>
                    <w:r>
                      <w:rPr>
                        <w:spacing w:val="-5"/>
                        <w:sz w:val="17"/>
                      </w:rPr>
                      <w:t> </w:t>
                    </w:r>
                    <w:r>
                      <w:rPr>
                        <w:sz w:val="17"/>
                      </w:rPr>
                      <w:t>day)</w:t>
                    </w:r>
                  </w:p>
                </w:txbxContent>
              </v:textbox>
              <w10:wrap type="none"/>
            </v:shape>
            <v:shape style="position:absolute;left:7881;top:1038;width:853;height:580" type="#_x0000_t202" filled="false" stroked="false">
              <v:textbox inset="0,0,0,0">
                <w:txbxContent>
                  <w:p>
                    <w:pPr>
                      <w:spacing w:line="240" w:lineRule="auto" w:before="0"/>
                      <w:ind w:left="105" w:right="2" w:hanging="106"/>
                      <w:jc w:val="left"/>
                      <w:rPr>
                        <w:sz w:val="17"/>
                      </w:rPr>
                    </w:pPr>
                    <w:r>
                      <w:rPr>
                        <w:sz w:val="17"/>
                      </w:rPr>
                      <w:t>FU Visit (or ED visit) (1 day)</w:t>
                    </w:r>
                  </w:p>
                </w:txbxContent>
              </v:textbox>
              <w10:wrap type="none"/>
            </v:shape>
            <v:shape style="position:absolute;left:3818;top:2320;width:864;height:450" type="#_x0000_t202" filled="false" stroked="false">
              <v:textbox inset="0,0,0,0">
                <w:txbxContent>
                  <w:p>
                    <w:pPr>
                      <w:spacing w:line="189" w:lineRule="exact" w:before="0"/>
                      <w:ind w:left="0" w:right="21" w:firstLine="0"/>
                      <w:jc w:val="center"/>
                      <w:rPr>
                        <w:sz w:val="17"/>
                      </w:rPr>
                    </w:pPr>
                    <w:r>
                      <w:rPr>
                        <w:sz w:val="17"/>
                      </w:rPr>
                      <w:t>WO Pd 1</w:t>
                    </w:r>
                  </w:p>
                  <w:p>
                    <w:pPr>
                      <w:spacing w:before="7"/>
                      <w:ind w:left="0" w:right="18" w:firstLine="0"/>
                      <w:jc w:val="center"/>
                      <w:rPr>
                        <w:sz w:val="17"/>
                      </w:rPr>
                    </w:pPr>
                    <w:r>
                      <w:rPr>
                        <w:sz w:val="17"/>
                      </w:rPr>
                      <w:t>(21</w:t>
                    </w:r>
                    <w:r>
                      <w:rPr>
                        <w:sz w:val="22"/>
                      </w:rPr>
                      <w:t>±</w:t>
                    </w:r>
                    <w:r>
                      <w:rPr>
                        <w:sz w:val="17"/>
                      </w:rPr>
                      <w:t>3 days)</w:t>
                    </w:r>
                  </w:p>
                </w:txbxContent>
              </v:textbox>
              <w10:wrap type="none"/>
            </v:shape>
            <v:shape style="position:absolute;left:5289;top:2353;width:864;height:447" type="#_x0000_t202" filled="false" stroked="false">
              <v:textbox inset="0,0,0,0">
                <w:txbxContent>
                  <w:p>
                    <w:pPr>
                      <w:spacing w:line="189" w:lineRule="exact" w:before="0"/>
                      <w:ind w:left="0" w:right="20" w:firstLine="0"/>
                      <w:jc w:val="center"/>
                      <w:rPr>
                        <w:sz w:val="17"/>
                      </w:rPr>
                    </w:pPr>
                    <w:r>
                      <w:rPr>
                        <w:sz w:val="17"/>
                      </w:rPr>
                      <w:t>WO Pd 2</w:t>
                    </w:r>
                  </w:p>
                  <w:p>
                    <w:pPr>
                      <w:spacing w:before="5"/>
                      <w:ind w:left="-1" w:right="18" w:firstLine="0"/>
                      <w:jc w:val="center"/>
                      <w:rPr>
                        <w:sz w:val="17"/>
                      </w:rPr>
                    </w:pPr>
                    <w:r>
                      <w:rPr>
                        <w:sz w:val="17"/>
                      </w:rPr>
                      <w:t>(21</w:t>
                    </w:r>
                    <w:r>
                      <w:rPr>
                        <w:sz w:val="22"/>
                      </w:rPr>
                      <w:t>±</w:t>
                    </w:r>
                    <w:r>
                      <w:rPr>
                        <w:sz w:val="17"/>
                      </w:rPr>
                      <w:t>3</w:t>
                    </w:r>
                    <w:r>
                      <w:rPr>
                        <w:spacing w:val="-7"/>
                        <w:sz w:val="17"/>
                      </w:rPr>
                      <w:t> </w:t>
                    </w:r>
                    <w:r>
                      <w:rPr>
                        <w:sz w:val="17"/>
                      </w:rPr>
                      <w:t>days)</w:t>
                    </w:r>
                  </w:p>
                </w:txbxContent>
              </v:textbox>
              <w10:wrap type="none"/>
            </v:shape>
            <v:shape style="position:absolute;left:6888;top:2372;width:864;height:445" type="#_x0000_t202" filled="false" stroked="false">
              <v:textbox inset="0,0,0,0">
                <w:txbxContent>
                  <w:p>
                    <w:pPr>
                      <w:spacing w:line="189" w:lineRule="exact" w:before="0"/>
                      <w:ind w:left="0" w:right="20" w:firstLine="0"/>
                      <w:jc w:val="center"/>
                      <w:rPr>
                        <w:sz w:val="17"/>
                      </w:rPr>
                    </w:pPr>
                    <w:r>
                      <w:rPr>
                        <w:sz w:val="17"/>
                      </w:rPr>
                      <w:t>WO Pd 3</w:t>
                    </w:r>
                  </w:p>
                  <w:p>
                    <w:pPr>
                      <w:spacing w:before="2"/>
                      <w:ind w:left="0" w:right="18" w:firstLine="0"/>
                      <w:jc w:val="center"/>
                      <w:rPr>
                        <w:sz w:val="17"/>
                      </w:rPr>
                    </w:pPr>
                    <w:r>
                      <w:rPr>
                        <w:sz w:val="17"/>
                      </w:rPr>
                      <w:t>(21</w:t>
                    </w:r>
                    <w:r>
                      <w:rPr>
                        <w:sz w:val="22"/>
                      </w:rPr>
                      <w:t>±</w:t>
                    </w:r>
                    <w:r>
                      <w:rPr>
                        <w:sz w:val="17"/>
                      </w:rPr>
                      <w:t>3 days)</w:t>
                    </w:r>
                  </w:p>
                </w:txbxContent>
              </v:textbox>
              <w10:wrap type="none"/>
            </v:shape>
            <v:shape style="position:absolute;left:36;top:4681;width:418;height:189" type="#_x0000_t202" filled="false" stroked="false">
              <v:textbox inset="0,0,0,0">
                <w:txbxContent>
                  <w:p>
                    <w:pPr>
                      <w:spacing w:line="189" w:lineRule="exact" w:before="0"/>
                      <w:ind w:left="0" w:right="0" w:firstLine="0"/>
                      <w:jc w:val="left"/>
                      <w:rPr>
                        <w:b/>
                        <w:sz w:val="17"/>
                      </w:rPr>
                    </w:pPr>
                    <w:r>
                      <w:rPr>
                        <w:b/>
                        <w:sz w:val="17"/>
                      </w:rPr>
                      <w:t>Visit:</w:t>
                    </w:r>
                  </w:p>
                </w:txbxContent>
              </v:textbox>
              <w10:wrap type="none"/>
            </v:shape>
            <v:shape style="position:absolute;left:1617;top:4640;width:949;height:501" type="#_x0000_t202" filled="false" stroked="false">
              <v:textbox inset="0,0,0,0">
                <w:txbxContent>
                  <w:p>
                    <w:pPr>
                      <w:tabs>
                        <w:tab w:pos="928" w:val="left" w:leader="none"/>
                      </w:tabs>
                      <w:spacing w:line="189" w:lineRule="exact" w:before="0"/>
                      <w:ind w:left="391" w:right="0" w:firstLine="0"/>
                      <w:jc w:val="left"/>
                      <w:rPr>
                        <w:sz w:val="17"/>
                      </w:rPr>
                    </w:pPr>
                    <w:r>
                      <w:rPr>
                        <w:w w:val="100"/>
                        <w:sz w:val="17"/>
                        <w:shd w:fill="FFFFFF" w:color="auto" w:val="clear"/>
                      </w:rPr>
                      <w:t> </w:t>
                    </w:r>
                    <w:r>
                      <w:rPr>
                        <w:sz w:val="17"/>
                        <w:shd w:fill="FFFFFF" w:color="auto" w:val="clear"/>
                      </w:rPr>
                      <w:t>   </w:t>
                    </w:r>
                    <w:r>
                      <w:rPr>
                        <w:spacing w:val="13"/>
                        <w:sz w:val="17"/>
                        <w:shd w:fill="FFFFFF" w:color="auto" w:val="clear"/>
                      </w:rPr>
                      <w:t> </w:t>
                    </w:r>
                    <w:r>
                      <w:rPr>
                        <w:sz w:val="17"/>
                        <w:shd w:fill="FFFFFF" w:color="auto" w:val="clear"/>
                      </w:rPr>
                      <w:t>1</w:t>
                      <w:tab/>
                    </w:r>
                  </w:p>
                  <w:p>
                    <w:pPr>
                      <w:spacing w:before="116"/>
                      <w:ind w:left="0" w:right="0" w:firstLine="0"/>
                      <w:jc w:val="left"/>
                      <w:rPr>
                        <w:sz w:val="17"/>
                      </w:rPr>
                    </w:pPr>
                    <w:r>
                      <w:rPr>
                        <w:sz w:val="17"/>
                      </w:rPr>
                      <w:t>-21 to -1</w:t>
                    </w:r>
                  </w:p>
                </w:txbxContent>
              </v:textbox>
              <w10:wrap type="none"/>
            </v:shape>
            <v:shape style="position:absolute;left:3360;top:4640;width:548;height:189" type="#_x0000_t202" filled="false" stroked="false">
              <v:textbox inset="0,0,0,0">
                <w:txbxContent>
                  <w:p>
                    <w:pPr>
                      <w:tabs>
                        <w:tab w:pos="527" w:val="left" w:leader="none"/>
                      </w:tabs>
                      <w:spacing w:line="189" w:lineRule="exact" w:before="0"/>
                      <w:ind w:left="0" w:right="0" w:firstLine="0"/>
                      <w:jc w:val="left"/>
                      <w:rPr>
                        <w:sz w:val="17"/>
                      </w:rPr>
                    </w:pPr>
                    <w:r>
                      <w:rPr>
                        <w:w w:val="100"/>
                        <w:sz w:val="17"/>
                        <w:shd w:fill="FFFFFF" w:color="auto" w:val="clear"/>
                      </w:rPr>
                      <w:t> </w:t>
                    </w:r>
                    <w:r>
                      <w:rPr>
                        <w:sz w:val="17"/>
                        <w:shd w:fill="FFFFFF" w:color="auto" w:val="clear"/>
                      </w:rPr>
                      <w:t>   </w:t>
                    </w:r>
                    <w:r>
                      <w:rPr>
                        <w:spacing w:val="8"/>
                        <w:sz w:val="17"/>
                        <w:shd w:fill="FFFFFF" w:color="auto" w:val="clear"/>
                      </w:rPr>
                      <w:t> </w:t>
                    </w:r>
                    <w:r>
                      <w:rPr>
                        <w:sz w:val="17"/>
                        <w:shd w:fill="FFFFFF" w:color="auto" w:val="clear"/>
                      </w:rPr>
                      <w:t>2</w:t>
                      <w:tab/>
                    </w:r>
                  </w:p>
                </w:txbxContent>
              </v:textbox>
              <w10:wrap type="none"/>
            </v:shape>
            <v:shape style="position:absolute;left:4912;top:4640;width:551;height:189" type="#_x0000_t202" filled="false" stroked="false">
              <v:textbox inset="0,0,0,0">
                <w:txbxContent>
                  <w:p>
                    <w:pPr>
                      <w:tabs>
                        <w:tab w:pos="530" w:val="left" w:leader="none"/>
                      </w:tabs>
                      <w:spacing w:line="189" w:lineRule="exact" w:before="0"/>
                      <w:ind w:left="0" w:right="0" w:firstLine="0"/>
                      <w:jc w:val="left"/>
                      <w:rPr>
                        <w:sz w:val="17"/>
                      </w:rPr>
                    </w:pPr>
                    <w:r>
                      <w:rPr>
                        <w:w w:val="100"/>
                        <w:sz w:val="17"/>
                        <w:shd w:fill="FFFFFF" w:color="auto" w:val="clear"/>
                      </w:rPr>
                      <w:t> </w:t>
                    </w:r>
                    <w:r>
                      <w:rPr>
                        <w:sz w:val="17"/>
                        <w:shd w:fill="FFFFFF" w:color="auto" w:val="clear"/>
                      </w:rPr>
                      <w:t>   </w:t>
                    </w:r>
                    <w:r>
                      <w:rPr>
                        <w:spacing w:val="10"/>
                        <w:sz w:val="17"/>
                        <w:shd w:fill="FFFFFF" w:color="auto" w:val="clear"/>
                      </w:rPr>
                      <w:t> </w:t>
                    </w:r>
                    <w:r>
                      <w:rPr>
                        <w:sz w:val="17"/>
                        <w:shd w:fill="FFFFFF" w:color="auto" w:val="clear"/>
                      </w:rPr>
                      <w:t>3</w:t>
                      <w:tab/>
                    </w:r>
                  </w:p>
                </w:txbxContent>
              </v:textbox>
              <w10:wrap type="none"/>
            </v:shape>
            <v:shape style="position:absolute;left:6506;top:4612;width:551;height:189" type="#_x0000_t202" filled="false" stroked="false">
              <v:textbox inset="0,0,0,0">
                <w:txbxContent>
                  <w:p>
                    <w:pPr>
                      <w:tabs>
                        <w:tab w:pos="530" w:val="left" w:leader="none"/>
                      </w:tabs>
                      <w:spacing w:line="189" w:lineRule="exact" w:before="0"/>
                      <w:ind w:left="0" w:right="0" w:firstLine="0"/>
                      <w:jc w:val="left"/>
                      <w:rPr>
                        <w:sz w:val="17"/>
                      </w:rPr>
                    </w:pPr>
                    <w:r>
                      <w:rPr>
                        <w:w w:val="100"/>
                        <w:sz w:val="17"/>
                        <w:shd w:fill="FFFFFF" w:color="auto" w:val="clear"/>
                      </w:rPr>
                      <w:t> </w:t>
                    </w:r>
                    <w:r>
                      <w:rPr>
                        <w:sz w:val="17"/>
                        <w:shd w:fill="FFFFFF" w:color="auto" w:val="clear"/>
                      </w:rPr>
                      <w:t>   </w:t>
                    </w:r>
                    <w:r>
                      <w:rPr>
                        <w:spacing w:val="8"/>
                        <w:sz w:val="17"/>
                        <w:shd w:fill="FFFFFF" w:color="auto" w:val="clear"/>
                      </w:rPr>
                      <w:t> </w:t>
                    </w:r>
                    <w:r>
                      <w:rPr>
                        <w:sz w:val="17"/>
                        <w:shd w:fill="FFFFFF" w:color="auto" w:val="clear"/>
                      </w:rPr>
                      <w:t>4</w:t>
                      <w:tab/>
                    </w:r>
                  </w:p>
                </w:txbxContent>
              </v:textbox>
              <w10:wrap type="none"/>
            </v:shape>
            <v:shape style="position:absolute;left:38;top:5039;width:838;height:189" type="#_x0000_t202" filled="false" stroked="false">
              <v:textbox inset="0,0,0,0">
                <w:txbxContent>
                  <w:p>
                    <w:pPr>
                      <w:spacing w:line="189" w:lineRule="exact" w:before="0"/>
                      <w:ind w:left="0" w:right="0" w:firstLine="0"/>
                      <w:jc w:val="left"/>
                      <w:rPr>
                        <w:b/>
                        <w:sz w:val="17"/>
                      </w:rPr>
                    </w:pPr>
                    <w:r>
                      <w:rPr>
                        <w:b/>
                        <w:sz w:val="17"/>
                      </w:rPr>
                      <w:t>Study Day:</w:t>
                    </w:r>
                  </w:p>
                </w:txbxContent>
              </v:textbox>
              <w10:wrap type="none"/>
            </v:shape>
            <v:shape style="position:absolute;left:3331;top:5003;width:577;height:189" type="#_x0000_t202" filled="false" stroked="false">
              <v:textbox inset="0,0,0,0">
                <w:txbxContent>
                  <w:p>
                    <w:pPr>
                      <w:tabs>
                        <w:tab w:pos="556" w:val="left" w:leader="none"/>
                      </w:tabs>
                      <w:spacing w:line="189" w:lineRule="exact" w:before="0"/>
                      <w:ind w:left="0" w:right="0" w:firstLine="0"/>
                      <w:jc w:val="left"/>
                      <w:rPr>
                        <w:sz w:val="17"/>
                      </w:rPr>
                    </w:pPr>
                    <w:r>
                      <w:rPr>
                        <w:w w:val="100"/>
                        <w:sz w:val="17"/>
                        <w:shd w:fill="FFFFFF" w:color="auto" w:val="clear"/>
                      </w:rPr>
                      <w:t> </w:t>
                    </w:r>
                    <w:r>
                      <w:rPr>
                        <w:sz w:val="17"/>
                        <w:shd w:fill="FFFFFF" w:color="auto" w:val="clear"/>
                      </w:rPr>
                      <w:t>    </w:t>
                    </w:r>
                    <w:r>
                      <w:rPr>
                        <w:spacing w:val="-20"/>
                        <w:sz w:val="17"/>
                        <w:shd w:fill="FFFFFF" w:color="auto" w:val="clear"/>
                      </w:rPr>
                      <w:t> </w:t>
                    </w:r>
                    <w:r>
                      <w:rPr>
                        <w:sz w:val="17"/>
                        <w:shd w:fill="FFFFFF" w:color="auto" w:val="clear"/>
                      </w:rPr>
                      <w:t>1</w:t>
                      <w:tab/>
                    </w:r>
                  </w:p>
                </w:txbxContent>
              </v:textbox>
              <w10:wrap type="none"/>
            </v:shape>
            <v:shape style="position:absolute;left:6453;top:4968;width:480;height:245" type="#_x0000_t202" filled="false" stroked="false">
              <v:textbox inset="0,0,0,0">
                <w:txbxContent>
                  <w:p>
                    <w:pPr>
                      <w:spacing w:line="244" w:lineRule="exact" w:before="0"/>
                      <w:ind w:left="0" w:right="0" w:firstLine="0"/>
                      <w:jc w:val="left"/>
                      <w:rPr>
                        <w:sz w:val="17"/>
                      </w:rPr>
                    </w:pPr>
                    <w:r>
                      <w:rPr>
                        <w:w w:val="100"/>
                        <w:sz w:val="17"/>
                        <w:shd w:fill="FFFFFF" w:color="auto" w:val="clear"/>
                      </w:rPr>
                      <w:t> </w:t>
                    </w:r>
                    <w:r>
                      <w:rPr>
                        <w:sz w:val="17"/>
                        <w:shd w:fill="FFFFFF" w:color="auto" w:val="clear"/>
                      </w:rPr>
                      <w:t> 43</w:t>
                    </w:r>
                    <w:r>
                      <w:rPr>
                        <w:sz w:val="22"/>
                        <w:shd w:fill="FFFFFF" w:color="auto" w:val="clear"/>
                      </w:rPr>
                      <w:t>±</w:t>
                    </w:r>
                    <w:r>
                      <w:rPr>
                        <w:sz w:val="17"/>
                        <w:shd w:fill="FFFFFF" w:color="auto" w:val="clear"/>
                      </w:rPr>
                      <w:t>3</w:t>
                    </w:r>
                  </w:p>
                </w:txbxContent>
              </v:textbox>
              <w10:wrap type="none"/>
            </v:shape>
            <v:shape style="position:absolute;left:7927;top:4640;width:581;height:572" type="#_x0000_t202" filled="false" stroked="false">
              <v:textbox inset="0,0,0,0">
                <w:txbxContent>
                  <w:p>
                    <w:pPr>
                      <w:tabs>
                        <w:tab w:pos="530" w:val="left" w:leader="none"/>
                      </w:tabs>
                      <w:spacing w:line="189" w:lineRule="exact" w:before="0"/>
                      <w:ind w:left="0" w:right="0" w:firstLine="0"/>
                      <w:jc w:val="left"/>
                      <w:rPr>
                        <w:sz w:val="17"/>
                      </w:rPr>
                    </w:pPr>
                    <w:r>
                      <w:rPr>
                        <w:w w:val="100"/>
                        <w:sz w:val="17"/>
                        <w:shd w:fill="FFFFFF" w:color="auto" w:val="clear"/>
                      </w:rPr>
                      <w:t> </w:t>
                    </w:r>
                    <w:r>
                      <w:rPr>
                        <w:sz w:val="17"/>
                        <w:shd w:fill="FFFFFF" w:color="auto" w:val="clear"/>
                      </w:rPr>
                      <w:t>   </w:t>
                    </w:r>
                    <w:r>
                      <w:rPr>
                        <w:spacing w:val="8"/>
                        <w:sz w:val="17"/>
                        <w:shd w:fill="FFFFFF" w:color="auto" w:val="clear"/>
                      </w:rPr>
                      <w:t> </w:t>
                    </w:r>
                    <w:r>
                      <w:rPr>
                        <w:sz w:val="17"/>
                        <w:shd w:fill="FFFFFF" w:color="auto" w:val="clear"/>
                      </w:rPr>
                      <w:t>5</w:t>
                      <w:tab/>
                    </w:r>
                  </w:p>
                  <w:p>
                    <w:pPr>
                      <w:spacing w:before="130"/>
                      <w:ind w:left="182" w:right="0" w:firstLine="0"/>
                      <w:jc w:val="left"/>
                      <w:rPr>
                        <w:sz w:val="17"/>
                      </w:rPr>
                    </w:pPr>
                    <w:r>
                      <w:rPr>
                        <w:sz w:val="17"/>
                        <w:shd w:fill="FFFFFF" w:color="auto" w:val="clear"/>
                      </w:rPr>
                      <w:t>64</w:t>
                    </w:r>
                    <w:r>
                      <w:rPr>
                        <w:sz w:val="22"/>
                        <w:shd w:fill="FFFFFF" w:color="auto" w:val="clear"/>
                      </w:rPr>
                      <w:t>±</w:t>
                    </w:r>
                    <w:r>
                      <w:rPr>
                        <w:sz w:val="17"/>
                        <w:shd w:fill="FFFFFF" w:color="auto" w:val="clear"/>
                      </w:rPr>
                      <w:t>3</w:t>
                    </w:r>
                  </w:p>
                </w:txbxContent>
              </v:textbox>
              <w10:wrap type="none"/>
            </v:shape>
            <v:shape style="position:absolute;left:3019;top:2889;width:483;height:360" type="#_x0000_t202" filled="false" stroked="false">
              <v:textbox inset="0,0,0,0">
                <w:txbxContent>
                  <w:p>
                    <w:pPr>
                      <w:spacing w:before="77"/>
                      <w:ind w:left="0" w:right="0" w:firstLine="0"/>
                      <w:jc w:val="center"/>
                      <w:rPr>
                        <w:b/>
                        <w:sz w:val="20"/>
                      </w:rPr>
                    </w:pPr>
                    <w:r>
                      <w:rPr>
                        <w:b/>
                        <w:w w:val="99"/>
                        <w:sz w:val="20"/>
                      </w:rPr>
                      <w:t>R</w:t>
                    </w:r>
                  </w:p>
                </w:txbxContent>
              </v:textbox>
              <w10:wrap type="none"/>
            </v:shape>
            <v:shape style="position:absolute;left:4884;top:4876;width:560;height:380" type="#_x0000_t202" filled="true" fillcolor="#ffffff" stroked="false">
              <v:textbox inset="0,0,0,0">
                <w:txbxContent>
                  <w:p>
                    <w:pPr>
                      <w:spacing w:before="94"/>
                      <w:ind w:left="91" w:right="0" w:firstLine="0"/>
                      <w:jc w:val="left"/>
                      <w:rPr>
                        <w:sz w:val="17"/>
                      </w:rPr>
                    </w:pPr>
                    <w:r>
                      <w:rPr>
                        <w:sz w:val="17"/>
                      </w:rPr>
                      <w:t>22</w:t>
                    </w:r>
                    <w:r>
                      <w:rPr>
                        <w:sz w:val="22"/>
                      </w:rPr>
                      <w:t>±</w:t>
                    </w:r>
                    <w:r>
                      <w:rPr>
                        <w:sz w:val="17"/>
                      </w:rPr>
                      <w:t>3</w:t>
                    </w:r>
                  </w:p>
                </w:txbxContent>
              </v:textbox>
              <v:fill type="solid"/>
              <w10:wrap type="none"/>
            </v:shape>
            <v:shape style="position:absolute;left:1161;top:650;width:1716;height:363" type="#_x0000_t202" filled="true" fillcolor="#ffffff" stroked="false">
              <v:textbox inset="0,0,0,0">
                <w:txbxContent>
                  <w:p>
                    <w:pPr>
                      <w:spacing w:before="115"/>
                      <w:ind w:left="201" w:right="0" w:firstLine="0"/>
                      <w:jc w:val="left"/>
                      <w:rPr>
                        <w:sz w:val="17"/>
                      </w:rPr>
                    </w:pPr>
                    <w:r>
                      <w:rPr>
                        <w:sz w:val="17"/>
                      </w:rPr>
                      <w:t>Screening/Baseline</w:t>
                    </w:r>
                  </w:p>
                </w:txbxContent>
              </v:textbox>
              <v:fill type="solid"/>
              <w10:wrap type="none"/>
            </v:shape>
            <v:shape style="position:absolute;left:5061;top:535;width:946;height:360" type="#_x0000_t202" filled="true" fillcolor="#ffffff" stroked="false">
              <v:textbox inset="0,0,0,0">
                <w:txbxContent>
                  <w:p>
                    <w:pPr>
                      <w:spacing w:before="112"/>
                      <w:ind w:left="187" w:right="0" w:firstLine="0"/>
                      <w:jc w:val="left"/>
                      <w:rPr>
                        <w:sz w:val="17"/>
                      </w:rPr>
                    </w:pPr>
                    <w:r>
                      <w:rPr>
                        <w:sz w:val="17"/>
                      </w:rPr>
                      <w:t>Period 2</w:t>
                    </w:r>
                  </w:p>
                </w:txbxContent>
              </v:textbox>
              <v:fill type="solid"/>
              <w10:wrap type="none"/>
            </v:shape>
          </v:group>
        </w:pict>
      </w:r>
      <w:r>
        <w:rPr>
          <w:rFonts w:ascii="Arial" w:hAnsi="Arial" w:cs="Arial" w:eastAsia="Arial"/>
          <w:sz w:val="20"/>
        </w:rPr>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1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tabs>
          <w:tab w:pos="1659" w:val="left" w:leader="none"/>
        </w:tabs>
        <w:spacing w:before="92"/>
        <w:rPr>
          <w:rFonts w:ascii="Arial"/>
        </w:rPr>
      </w:pPr>
      <w:bookmarkStart w:name="Figure 1 Study Design for a Crossover St" w:id="71"/>
      <w:bookmarkEnd w:id="71"/>
      <w:r>
        <w:rPr>
          <w:rFonts w:ascii="Arial" w:hAnsi="Arial" w:cs="Arial" w:eastAsia="Arial"/>
          <w:b w:val="0"/>
        </w:rPr>
      </w:r>
      <w:bookmarkStart w:name="_bookmark24" w:id="72"/>
      <w:bookmarkEnd w:id="72"/>
      <w:r>
        <w:rPr>
          <w:rFonts w:ascii="Arial" w:hAnsi="Arial" w:cs="Arial" w:eastAsia="Arial"/>
          <w:b w:val="0"/>
        </w:rPr>
      </w:r>
      <w:r>
        <w:rPr>
          <w:rFonts w:ascii="Arial" w:hAnsi="Arial" w:cs="Arial" w:eastAsia="Arial"/>
        </w:rPr>
        <w:t>Figure</w:t>
      </w:r>
      <w:r>
        <w:rPr>
          <w:rFonts w:ascii="Arial" w:hAnsi="Arial" w:cs="Arial" w:eastAsia="Arial"/>
          <w:spacing w:val="1"/>
        </w:rPr>
        <w:t xml:space="preserve">  </w:t>
      </w:r>
      <w:r>
        <w:rPr>
          <w:rFonts w:ascii="Arial" w:hAnsi="Arial" w:cs="Arial" w:eastAsia="Arial"/>
        </w:rPr>
        <w:t xml:space="preserve">  1</w:t>
        <w:tab/>
        <w:t>Study Design for a Crossover</w:t>
      </w:r>
      <w:r>
        <w:rPr>
          <w:rFonts w:ascii="Arial" w:hAnsi="Arial" w:cs="Arial" w:eastAsia="Arial"/>
          <w:spacing w:val="-5"/>
        </w:rPr>
        <w:t xml:space="preserve">  </w:t>
      </w:r>
      <w:r>
        <w:rPr>
          <w:rFonts w:ascii="Arial" w:hAnsi="Arial" w:cs="Arial" w:eastAsia="Arial"/>
        </w:rPr>
        <w:t xml:space="preserv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7"/>
        <w:rPr>
          <w:rFonts w:ascii="Arial"/>
          <w:b/>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before="1"/>
        <w:ind w:left="220" w:right="0" w:firstLine="0"/>
        <w:jc w:val="left"/>
        <w:rPr>
          <w:sz w:val="20"/>
        </w:rPr>
      </w:pPr>
      <w:r>
        <w:rPr>
          <w:rFonts w:ascii="Arial" w:hAnsi="Arial" w:cs="Arial" w:eastAsia="Arial"/>
          <w:sz w:val="20"/>
        </w:rPr>
        <w:t>ED = Early discontinuation, FU = Follow Up, Pd = period, R = randomization, Trt = treatment, WO = washout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5"/>
        <w:rPr>
          <w:sz w:val="29"/>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3"/>
        </w:numPr>
        <w:tabs>
          <w:tab w:pos="1179" w:val="left" w:leader="none"/>
          <w:tab w:pos="1180" w:val="left" w:leader="none"/>
        </w:tabs>
        <w:spacing w:line="240" w:lineRule="auto" w:before="0" w:after="0"/>
        <w:ind w:left="1180" w:right="0" w:hanging="960"/>
        <w:jc w:val="left"/>
        <w:rPr>
          <w:rFonts w:ascii="Arial"/>
          <w:sz w:val="24"/>
        </w:rPr>
      </w:pPr>
      <w:bookmarkStart w:name="9.1.1 Prerandomization Phase" w:id="73"/>
      <w:bookmarkEnd w:id="73"/>
      <w:r>
        <w:rPr>
          <w:rFonts w:ascii="Arial" w:hAnsi="Arial" w:cs="Arial" w:eastAsia="Arial"/>
        </w:rPr>
      </w:r>
      <w:bookmarkStart w:name="_bookmark25" w:id="74"/>
      <w:bookmarkEnd w:id="74"/>
      <w:r>
        <w:rPr>
          <w:rFonts w:ascii="Arial" w:hAnsi="Arial" w:cs="Arial" w:eastAsia="Arial"/>
        </w:rPr>
      </w:r>
      <w:bookmarkStart w:name="_bookmark25" w:id="75"/>
      <w:bookmarkEnd w:id="75"/>
      <w:r>
        <w:rPr>
          <w:rFonts w:ascii="Arial" w:hAnsi="Arial" w:cs="Arial" w:eastAsia="Arial"/>
          <w:sz w:val="24"/>
        </w:rPr>
        <w:t>Prerandomization</w:t>
      </w:r>
      <w:r>
        <w:rPr>
          <w:rFonts w:ascii="Arial" w:hAnsi="Arial" w:cs="Arial" w:eastAsia="Arial"/>
          <w:sz w:val="24"/>
        </w:rPr>
        <w:t xml:space="preserve">  Phase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208"/>
      </w:pPr>
      <w:r>
        <w:rPr>
          <w:rFonts w:ascii="Arial" w:hAnsi="Arial" w:cs="Arial" w:eastAsia="Arial"/>
        </w:rPr>
        <w:t>The Prerandomization Phase will consist of a Screening Period (up to 3 weeks), during which each subject’s study eligibility will be determined and baseline assessments will be conducted.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3"/>
        </w:numPr>
        <w:tabs>
          <w:tab w:pos="1419" w:val="left" w:leader="none"/>
          <w:tab w:pos="1420" w:val="left" w:leader="none"/>
        </w:tabs>
        <w:spacing w:line="240" w:lineRule="auto" w:before="1" w:after="0"/>
        <w:ind w:left="1420" w:right="0" w:hanging="1200"/>
        <w:jc w:val="left"/>
        <w:rPr>
          <w:rFonts w:ascii="Arial"/>
          <w:sz w:val="22"/>
        </w:rPr>
      </w:pPr>
      <w:bookmarkStart w:name="9.1.1.1 Screening Period" w:id="76"/>
      <w:bookmarkEnd w:id="76"/>
      <w:r>
        <w:rPr>
          <w:rFonts w:ascii="Arial" w:hAnsi="Arial" w:cs="Arial" w:eastAsia="Arial"/>
        </w:rPr>
      </w:r>
      <w:bookmarkStart w:name="_bookmark26" w:id="77"/>
      <w:bookmarkEnd w:id="77"/>
      <w:r>
        <w:rPr>
          <w:rFonts w:ascii="Arial" w:hAnsi="Arial" w:cs="Arial" w:eastAsia="Arial"/>
        </w:rPr>
      </w:r>
      <w:bookmarkStart w:name="_bookmark26" w:id="78"/>
      <w:bookmarkEnd w:id="78"/>
      <w:r>
        <w:rPr>
          <w:rFonts w:ascii="Arial" w:hAnsi="Arial" w:cs="Arial" w:eastAsia="Arial"/>
          <w:sz w:val="22"/>
        </w:rPr>
        <w:t>Screenin</w:t>
      </w:r>
      <w:r>
        <w:rPr>
          <w:rFonts w:ascii="Arial" w:hAnsi="Arial" w:cs="Arial" w:eastAsia="Arial"/>
          <w:sz w:val="22"/>
        </w:rPr>
        <w:t>g</w:t>
      </w:r>
      <w:r>
        <w:rPr>
          <w:rFonts w:ascii="Arial" w:hAnsi="Arial" w:cs="Arial" w:eastAsia="Arial"/>
          <w:spacing w:val="-10"/>
          <w:sz w:val="22"/>
        </w:rPr>
        <w:t xml:space="preserve">  </w:t>
      </w:r>
      <w:r>
        <w:rPr>
          <w:rFonts w:ascii="Arial" w:hAnsi="Arial" w:cs="Arial" w:eastAsia="Arial"/>
          <w:sz w:val="22"/>
        </w:rPr>
        <w:t xml:space="preserve">  Period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49"/>
      </w:pPr>
      <w:r>
        <w:rPr>
          <w:rFonts w:ascii="Arial" w:hAnsi="Arial" w:cs="Arial" w:eastAsia="Arial"/>
        </w:rPr>
        <w:t>Screening will occur between Day –21 and Day –1. The purpose of the Screening Period is to obtain informed consent and to establish protocol eligibility. Informed consent will be obtained after the study has been fully explained to each subject and before the conduct of any screening procedures or assessments. Procedures to be followed when obtaining informed consent are detailed in </w:t>
      </w:r>
      <w:r>
        <w:rPr>
          <w:rFonts w:ascii="Arial" w:hAnsi="Arial" w:cs="Arial" w:eastAsia="Arial"/>
          <w:color w:val="0000FF"/>
        </w:rPr>
        <w:t xml:space="preserve">  Sectio</w:t>
      </w:r>
      <w:hyperlink w:history="true" w:anchor="_bookmark7">
        <w:r>
          <w:rPr>
            <w:rFonts w:ascii="Arial" w:hAnsi="Arial" w:cs="Arial" w:eastAsia="Arial"/>
            <w:color w:val="0000FF"/>
          </w:rPr>
          <w:t>n</w:t>
        </w:r>
        <w:r>
          <w:rPr>
            <w:rFonts w:ascii="Arial" w:hAnsi="Arial" w:cs="Arial" w:eastAsia="Arial"/>
            <w:color w:val="0000FF"/>
            <w:spacing w:val="-2"/>
          </w:rPr>
          <w:t xml:space="preserve">  </w:t>
        </w:r>
        <w:r>
          <w:rPr>
            <w:rFonts w:ascii="Arial" w:hAnsi="Arial" w:cs="Arial" w:eastAsia="Arial"/>
            <w:color w:val="0000FF"/>
          </w:rPr>
          <w:t xml:space="preserve">  5.3</w:t>
        </w:r>
      </w:hyperlink>
      <w:r>
        <w:rPr>
          <w:rFonts w:ascii="Arial" w:hAnsi="Arial" w:cs="Arial" w:eastAsia="Arial"/>
        </w:rPr>
        <w: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407"/>
      </w:pPr>
      <w:r>
        <w:rPr>
          <w:rFonts w:ascii="Arial" w:hAnsi="Arial" w:cs="Arial" w:eastAsia="Arial"/>
        </w:rPr>
        <w:t>Subjects must have a diagnosis and history of a PPR on EEG with or without a diagnosis of epilepsy for which they are receiving up to 3 concomitant AEDs.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595"/>
      </w:pPr>
      <w:r>
        <w:rPr>
          <w:rFonts w:ascii="Arial" w:hAnsi="Arial" w:cs="Arial" w:eastAsia="Arial"/>
        </w:rPr>
        <w:t>The Screening Disposition case report form (CRF) page must be completed to indicate whether the subject is eligible to participate in the study and to provide reasons for screen failure, if applicable.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20"/>
        <w:jc w:val="both"/>
      </w:pPr>
      <w:r>
        <w:rPr>
          <w:rFonts w:ascii="Arial" w:hAnsi="Arial" w:cs="Arial" w:eastAsia="Arial"/>
        </w:rPr>
        <w:t>At the Screening Visit (Visit 1), subjects will undergo an EEG-IPS assessment in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48"/>
        <w:jc w:val="both"/>
      </w:pPr>
      <w:r>
        <w:rPr>
          <w:rFonts w:ascii="Arial" w:hAnsi="Arial" w:cs="Arial" w:eastAsia="Arial"/>
        </w:rPr>
        <w:t>3 eye-conditions (eye closure, eyes closed, and eyes open) at ascending and then descending photo-stimulation frequencies. The Screening Visit EEG-IPS assessment will be performed at 5 time points, over an approximately 4-hour time period (0, 1, 2, 3, and 4 hours; within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215"/>
      </w:pPr>
      <w:r>
        <w:rPr>
          <w:rFonts w:ascii="Arial" w:hAnsi="Arial" w:cs="Arial" w:eastAsia="Arial"/>
        </w:rPr>
        <w:t>±15 minutes of the scheduled time point). Subjects with a reproducible PPR on EEG of at least 3 points on the SPR scale in at least 1 eye condition on at least 3 of the EEGs performed at Screening will be eligible for the study. The baseline assessments will be conducted, including determination of the lower and upper limit of photosensitivity to intermittent photic stimulation (EEG-IPS) threshold frequency for each eye condition. Qualified medical personnel for the management of acute seizures will be present during the day of EEG-IPS procedure throughout the duration of the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3"/>
        </w:numPr>
        <w:tabs>
          <w:tab w:pos="1179" w:val="left" w:leader="none"/>
          <w:tab w:pos="1180" w:val="left" w:leader="none"/>
        </w:tabs>
        <w:spacing w:line="240" w:lineRule="auto" w:before="0" w:after="0"/>
        <w:ind w:left="1180" w:right="0" w:hanging="960"/>
        <w:jc w:val="left"/>
        <w:rPr>
          <w:rFonts w:ascii="Arial"/>
          <w:sz w:val="24"/>
        </w:rPr>
      </w:pPr>
      <w:bookmarkStart w:name="9.1.2 Randomization Phase" w:id="79"/>
      <w:bookmarkEnd w:id="79"/>
      <w:r>
        <w:rPr>
          <w:rFonts w:ascii="Arial" w:hAnsi="Arial" w:cs="Arial" w:eastAsia="Arial"/>
        </w:rPr>
      </w:r>
      <w:bookmarkStart w:name="_bookmark27" w:id="80"/>
      <w:bookmarkEnd w:id="80"/>
      <w:r>
        <w:rPr>
          <w:rFonts w:ascii="Arial" w:hAnsi="Arial" w:cs="Arial" w:eastAsia="Arial"/>
        </w:rPr>
      </w:r>
      <w:bookmarkStart w:name="_bookmark27" w:id="81"/>
      <w:bookmarkEnd w:id="81"/>
      <w:r>
        <w:rPr>
          <w:rFonts w:ascii="Arial" w:hAnsi="Arial" w:cs="Arial" w:eastAsia="Arial"/>
          <w:sz w:val="24"/>
        </w:rPr>
        <w:t>Randomizatio</w:t>
      </w:r>
      <w:r>
        <w:rPr>
          <w:rFonts w:ascii="Arial" w:hAnsi="Arial" w:cs="Arial" w:eastAsia="Arial"/>
          <w:sz w:val="24"/>
        </w:rPr>
        <w:t>n</w:t>
      </w:r>
      <w:r>
        <w:rPr>
          <w:rFonts w:ascii="Arial" w:hAnsi="Arial" w:cs="Arial" w:eastAsia="Arial"/>
          <w:spacing w:val="-1"/>
          <w:sz w:val="24"/>
        </w:rPr>
        <w:t xml:space="preserve">  </w:t>
      </w:r>
      <w:r>
        <w:rPr>
          <w:rFonts w:ascii="Arial" w:hAnsi="Arial" w:cs="Arial" w:eastAsia="Arial"/>
          <w:sz w:val="24"/>
        </w:rPr>
        <w:t xml:space="preserve">  Phase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42"/>
      </w:pPr>
      <w:r>
        <w:rPr>
          <w:rFonts w:ascii="Arial" w:hAnsi="Arial" w:cs="Arial" w:eastAsia="Arial"/>
        </w:rPr>
        <w:t>The duration of the Randomization Phase will be 9 weeks and will include 3 Treatment Periods (placebo, E2730 40 mg or E2730 120 mg, each separated by a 3-week (±3 days) washout interval, for a total of approximately 6 weeks), and a Follow-up Period (a single visit, 3 weeks ±3 days after the last day of study product administration). Subjects whose screening assessments and evaluations (including Day 1 [Visit 2] procedures) are completed and reviewed by the investigator and who continue to meet all of the inclusion/exclusion criteria will enter the Randomization Phase. The baseline assessments will be conducted again at predose of each Treatment Period, including determination of the lower and upper limit of photosensitivity to IPS threshold frequency for each eye condition.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5"/>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3"/>
        </w:numPr>
        <w:tabs>
          <w:tab w:pos="1419" w:val="left" w:leader="none"/>
          <w:tab w:pos="1420" w:val="left" w:leader="none"/>
        </w:tabs>
        <w:spacing w:line="240" w:lineRule="auto" w:before="0" w:after="0"/>
        <w:ind w:left="1420" w:right="0" w:hanging="1200"/>
        <w:jc w:val="left"/>
        <w:rPr>
          <w:rFonts w:ascii="Arial"/>
          <w:sz w:val="22"/>
        </w:rPr>
      </w:pPr>
      <w:bookmarkStart w:name="9.1.2.1 Treatment Periods" w:id="82"/>
      <w:bookmarkEnd w:id="82"/>
      <w:r>
        <w:rPr>
          <w:rFonts w:ascii="Arial" w:hAnsi="Arial" w:cs="Arial" w:eastAsia="Arial"/>
        </w:rPr>
      </w:r>
      <w:bookmarkStart w:name="_bookmark28" w:id="83"/>
      <w:bookmarkEnd w:id="83"/>
      <w:r>
        <w:rPr>
          <w:rFonts w:ascii="Arial" w:hAnsi="Arial" w:cs="Arial" w:eastAsia="Arial"/>
        </w:rPr>
      </w:r>
      <w:bookmarkStart w:name="_bookmark28" w:id="84"/>
      <w:bookmarkEnd w:id="84"/>
      <w:r>
        <w:rPr>
          <w:rFonts w:ascii="Arial" w:hAnsi="Arial" w:cs="Arial" w:eastAsia="Arial"/>
          <w:sz w:val="22"/>
        </w:rPr>
        <w:t>Treatmen</w:t>
      </w:r>
      <w:r>
        <w:rPr>
          <w:rFonts w:ascii="Arial" w:hAnsi="Arial" w:cs="Arial" w:eastAsia="Arial"/>
          <w:sz w:val="22"/>
        </w:rPr>
        <w:t>t</w:t>
      </w:r>
      <w:r>
        <w:rPr>
          <w:rFonts w:ascii="Arial" w:hAnsi="Arial" w:cs="Arial" w:eastAsia="Arial"/>
          <w:spacing w:val="-2"/>
          <w:sz w:val="22"/>
        </w:rPr>
        <w:t xml:space="preserve">  </w:t>
      </w:r>
      <w:r>
        <w:rPr>
          <w:rFonts w:ascii="Arial" w:hAnsi="Arial" w:cs="Arial" w:eastAsia="Arial"/>
          <w:sz w:val="22"/>
        </w:rPr>
        <w:t xml:space="preserve">  Periods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729"/>
      </w:pPr>
      <w:r>
        <w:rPr>
          <w:rFonts w:ascii="Arial" w:hAnsi="Arial" w:cs="Arial" w:eastAsia="Arial"/>
        </w:rPr>
        <w:t>Subjects will be randomized into 1 of 6 treatment sequences to receive placebo, E2730 40 mg, or E2730 120 mg. Each of the 3 treatment periods will be separated by a 3-week (±3 days) washout interval.</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3"/>
        </w:numPr>
        <w:tabs>
          <w:tab w:pos="1419" w:val="left" w:leader="none"/>
          <w:tab w:pos="1420" w:val="left" w:leader="none"/>
        </w:tabs>
        <w:spacing w:line="240" w:lineRule="auto" w:before="0" w:after="0"/>
        <w:ind w:left="1420" w:right="0" w:hanging="1200"/>
        <w:jc w:val="left"/>
        <w:rPr>
          <w:rFonts w:ascii="Arial"/>
          <w:sz w:val="22"/>
        </w:rPr>
      </w:pPr>
      <w:bookmarkStart w:name="9.1.2.2 Follow-up Period" w:id="85"/>
      <w:bookmarkEnd w:id="85"/>
      <w:r>
        <w:rPr>
          <w:rFonts w:ascii="Arial" w:hAnsi="Arial" w:cs="Arial" w:eastAsia="Arial"/>
        </w:rPr>
      </w:r>
      <w:bookmarkStart w:name="_bookmark29" w:id="86"/>
      <w:bookmarkEnd w:id="86"/>
      <w:r>
        <w:rPr>
          <w:rFonts w:ascii="Arial" w:hAnsi="Arial" w:cs="Arial" w:eastAsia="Arial"/>
        </w:rPr>
      </w:r>
      <w:bookmarkStart w:name="_bookmark29" w:id="87"/>
      <w:bookmarkEnd w:id="87"/>
      <w:r>
        <w:rPr>
          <w:rFonts w:ascii="Arial" w:hAnsi="Arial" w:cs="Arial" w:eastAsia="Arial"/>
          <w:sz w:val="22"/>
        </w:rPr>
        <w:t>Follo</w:t>
      </w:r>
      <w:r>
        <w:rPr>
          <w:rFonts w:ascii="Arial" w:hAnsi="Arial" w:cs="Arial" w:eastAsia="Arial"/>
          <w:sz w:val="22"/>
        </w:rPr>
        <w:t>w-up</w:t>
      </w:r>
      <w:r>
        <w:rPr>
          <w:rFonts w:ascii="Arial" w:hAnsi="Arial" w:cs="Arial" w:eastAsia="Arial"/>
          <w:spacing w:val="-1"/>
          <w:sz w:val="22"/>
        </w:rPr>
        <w:t xml:space="preserve">  </w:t>
      </w:r>
      <w:r>
        <w:rPr>
          <w:rFonts w:ascii="Arial" w:hAnsi="Arial" w:cs="Arial" w:eastAsia="Arial"/>
          <w:sz w:val="22"/>
        </w:rPr>
        <w:t xml:space="preserve">  Period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49"/>
      </w:pPr>
      <w:r>
        <w:rPr>
          <w:rFonts w:ascii="Arial" w:hAnsi="Arial" w:cs="Arial" w:eastAsia="Arial"/>
        </w:rPr>
        <w:t>After completing Treatment Period 3, all subjects will enter the Follow-up period during which they will be required to complete a Follow-up visit. The Follow-up Period is a single visit, 3 weeks ±3 days after the last day of study product administration.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sz w:val="21"/>
        </w:rPr>
      </w:pPr>
    </w:p>
    <w:p>
      <w:r>
        <w:cr/>
      </w:r>
    </w:p>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71C73273" w14:textId="4CE5918D" w:rsidR="00046283" w:rsidRPr="0007375A" w:rsidRDefault="0007375A" w:rsidP="0007375A">
      <w:pPr>
        <w:spacing w:after="0"/>
        <w:rPr>
          <w:i/>
          <w:iCs/>
        </w:rPr>
      </w:pP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sidRPr="0007375A">
        <w:rPr>
          <w:rFonts w:ascii="Arial" w:hAnsi="Arial" w:cs="Arial" w:eastAsia="Arial"/>
          <w:b/>
          <w:bCs/>
          <w:i/>
          <w:iCs/>
          <w:color w:val="0D0D0D" w:themeColor="text1" w:themeTint="F2"/>
          <w:highlight w:val="yellow"/>
        </w:rPr>
        <w:t xml:space="preserve">Please fill this </w:t>
      </w:r>
      <w:r w:rsidRPr="0007375A">
        <w:rPr>
          <w:rFonts w:ascii="Arial" w:hAnsi="Arial" w:cs="Arial" w:eastAsia="Arial"/>
          <w:b/>
          <w:bCs/>
          <w:i/>
          <w:iCs/>
          <w:color w:val="0D0D0D" w:themeColor="text1" w:themeTint="F2"/>
          <w:highlight w:val="yellow"/>
        </w:rPr>
        <w:t xml:space="preserve">section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t xml:space="preserve">                     </w:t>
      </w:r>
    </w:p>
    <w:p>
      <w:pPr>
        <w:pStyle w:val="Heading3"/>
        <w:keepNext w:val="on"/>
        <w:ind w:left="3"/>
      </w:pPr>
      <w:r>
        <w:rPr>
          <w:rFonts w:ascii="Arial" w:hAnsi="Arial" w:cs="Arial" w:eastAsia="Arial"/>
          <w:b w:val="true"/>
          <w:color w:val="ffc800"/>
          <w:sz w:val="22"/>
        </w:rPr>
        <w:t xml:space="preserve">    9.1.1 </w:t>
        <w:t>STUDY TIMING</w:t>
      </w:r>
      <w:bookmarkStart w:name="_STUDY_TIMING" w:id="1265"/>
    </w:p>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71C73273" w14:textId="4CE5918D" w:rsidR="00046283" w:rsidRPr="0007375A" w:rsidRDefault="0007375A" w:rsidP="0007375A">
      <w:pPr>
        <w:spacing w:after="0"/>
        <w:rPr>
          <w:i/>
          <w:iCs/>
        </w:rPr>
      </w:pP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sidRPr="0007375A">
        <w:rPr>
          <w:rFonts w:ascii="Arial" w:hAnsi="Arial" w:cs="Arial" w:eastAsia="Arial"/>
          <w:b/>
          <w:bCs/>
          <w:i/>
          <w:iCs/>
          <w:color w:val="0D0D0D" w:themeColor="text1" w:themeTint="F2"/>
          <w:highlight w:val="yellow"/>
        </w:rPr>
        <w:t xml:space="preserve">Please fill this </w:t>
      </w:r>
      <w:r w:rsidRPr="0007375A">
        <w:rPr>
          <w:rFonts w:ascii="Arial" w:hAnsi="Arial" w:cs="Arial" w:eastAsia="Arial"/>
          <w:b/>
          <w:bCs/>
          <w:i/>
          <w:iCs/>
          <w:color w:val="0D0D0D" w:themeColor="text1" w:themeTint="F2"/>
          <w:highlight w:val="yellow"/>
        </w:rPr>
        <w:t xml:space="preserve">section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t xml:space="preserve">                     </w:t>
      </w:r>
    </w:p>
    <w:p>
      <w:pPr>
        <w:pStyle w:val="Heading3"/>
        <w:keepNext w:val="on"/>
        <w:ind w:left="3"/>
      </w:pPr>
      <w:r>
        <w:rPr>
          <w:rFonts w:ascii="Arial" w:hAnsi="Arial" w:cs="Arial" w:eastAsia="Arial"/>
          <w:b w:val="true"/>
          <w:color w:val="ffc800"/>
          <w:sz w:val="22"/>
        </w:rPr>
        <w:t xml:space="preserve">    9.1.2 </w:t>
        <w:t>STUDY LOCATION</w:t>
      </w:r>
      <w:bookmarkStart w:name="_STUDY_LOCATION" w:id="1266"/>
    </w:p>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71C73273" w14:textId="4CE5918D" w:rsidR="00046283" w:rsidRPr="0007375A" w:rsidRDefault="0007375A" w:rsidP="0007375A">
      <w:pPr>
        <w:spacing w:after="0"/>
        <w:rPr>
          <w:i/>
          <w:iCs/>
        </w:rPr>
      </w:pP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sidRPr="0007375A">
        <w:rPr>
          <w:rFonts w:ascii="Arial" w:hAnsi="Arial" w:cs="Arial" w:eastAsia="Arial"/>
          <w:b/>
          <w:bCs/>
          <w:i/>
          <w:iCs/>
          <w:color w:val="0D0D0D" w:themeColor="text1" w:themeTint="F2"/>
          <w:highlight w:val="yellow"/>
        </w:rPr>
        <w:t xml:space="preserve">Please fill this </w:t>
      </w:r>
      <w:r w:rsidRPr="0007375A">
        <w:rPr>
          <w:rFonts w:ascii="Arial" w:hAnsi="Arial" w:cs="Arial" w:eastAsia="Arial"/>
          <w:b/>
          <w:bCs/>
          <w:i/>
          <w:iCs/>
          <w:color w:val="0D0D0D" w:themeColor="text1" w:themeTint="F2"/>
          <w:highlight w:val="yellow"/>
        </w:rPr>
        <w:t xml:space="preserve">section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t xml:space="preserve">                     </w:t>
      </w:r>
    </w:p>
    <w:p>
      <w:pPr>
        <w:pStyle w:val="Heading3"/>
        <w:keepNext w:val="on"/>
        <w:ind w:left="2"/>
      </w:pPr>
      <w:r>
        <w:rPr>
          <w:rFonts w:ascii="Arial" w:hAnsi="Arial" w:cs="Arial" w:eastAsia="Arial"/>
          <w:b w:val="true"/>
          <w:sz w:val="24"/>
        </w:rPr>
        <w:t xml:space="preserve">  9.2 </w:t>
        <w:t>DISCUSSION OF STUDY DESIGN</w:t>
      </w:r>
      <w:bookmarkStart w:name="_DISCUSSION_OF_STUDY_DESIGN" w:id="1267"/>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4"/>
        <w:ind w:left="220" w:right="349"/>
      </w:pPr>
      <w:r>
        <w:rPr>
          <w:rFonts w:ascii="Arial" w:hAnsi="Arial" w:cs="Arial" w:eastAsia="Arial"/>
        </w:rPr>
        <w:t>Randomization will be used in this study to avoid bias in the assignment of subjects to treatment, to increase the likelihood that known and unknown subject attributes (eg, demographics and baseline characteristics) are balanced across treatment groups, and to ensure the validity of statistical comparisons across treatment groups. Blinding to treatment will be used to reduce potential bias during data collection and evaluation of endpoints.</w:t>
      </w:r>
    </w:p>
    <w:p>
      <w:r>
        <w:cr/>
      </w:r>
    </w:p>
    <w:p>
      <w:pPr>
        <w:pStyle w:val="Heading3"/>
        <w:keepNext w:val="on"/>
        <w:ind w:left="2"/>
      </w:pPr>
      <w:r>
        <w:rPr>
          <w:rFonts w:ascii="Arial" w:hAnsi="Arial" w:cs="Arial" w:eastAsia="Arial"/>
          <w:b w:val="true"/>
          <w:sz w:val="24"/>
        </w:rPr>
        <w:t xml:space="preserve">  9.3 </w:t>
        <w:t>SELECTION OF STUDY POPULATION</w:t>
      </w:r>
      <w:bookmarkStart w:name="_SELECTION_OF_STUDY_POPULATION" w:id="1268"/>
    </w:p>
    <w:p>
      <w:pPr>
        <w:pStyle w:val="Heading3"/>
        <w:keepNext w:val="on"/>
        <w:ind w:left="3"/>
      </w:pPr>
      <w:r>
        <w:rPr>
          <w:rFonts w:ascii="Arial" w:hAnsi="Arial" w:cs="Arial" w:eastAsia="Arial"/>
          <w:b w:val="true"/>
          <w:sz w:val="22"/>
        </w:rPr>
        <w:t xml:space="preserve">    9.3.1 </w:t>
        <w:t>INCLUSION CRITERIA</w:t>
      </w:r>
      <w:bookmarkStart w:name="_INCLUSION_CRITERIA" w:id="1269"/>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pPr>
      <w:r>
        <w:rPr>
          <w:rFonts w:ascii="Arial" w:hAnsi="Arial" w:cs="Arial" w:eastAsia="Arial"/>
        </w:rPr>
        <w:t>Subjects must meet all of the following criteria to be included in this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5"/>
        </w:numPr>
        <w:tabs>
          <w:tab w:pos="639" w:val="left" w:leader="none"/>
          <w:tab w:pos="640" w:val="left" w:leader="none"/>
        </w:tabs>
        <w:spacing w:line="240" w:lineRule="auto" w:before="0" w:after="0"/>
        <w:ind w:left="640" w:right="0" w:hanging="420"/>
        <w:jc w:val="left"/>
        <w:rPr>
          <w:sz w:val="24"/>
        </w:rPr>
      </w:pPr>
      <w:r>
        <w:rPr>
          <w:rFonts w:ascii="Arial" w:hAnsi="Arial" w:cs="Arial" w:eastAsia="Arial"/>
          <w:sz w:val="24"/>
        </w:rPr>
        <w:t>Male or female 18 to 60 years old at the time of informed</w:t>
      </w:r>
      <w:r>
        <w:rPr>
          <w:rFonts w:ascii="Arial" w:hAnsi="Arial" w:cs="Arial" w:eastAsia="Arial"/>
          <w:spacing w:val="-5"/>
          <w:sz w:val="24"/>
        </w:rPr>
        <w:t xml:space="preserve">  </w:t>
      </w:r>
      <w:r>
        <w:rPr>
          <w:rFonts w:ascii="Arial" w:hAnsi="Arial" w:cs="Arial" w:eastAsia="Arial"/>
          <w:sz w:val="24"/>
        </w:rPr>
        <w:t xml:space="preserve">  consent.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5"/>
        </w:numPr>
        <w:tabs>
          <w:tab w:pos="580" w:val="left" w:leader="none"/>
        </w:tabs>
        <w:spacing w:line="240" w:lineRule="auto" w:before="0" w:after="0"/>
        <w:ind w:left="580" w:right="0" w:hanging="360"/>
        <w:jc w:val="left"/>
        <w:rPr>
          <w:sz w:val="24"/>
        </w:rPr>
      </w:pPr>
      <w:r>
        <w:rPr>
          <w:rFonts w:ascii="Arial" w:hAnsi="Arial" w:cs="Arial" w:eastAsia="Arial"/>
          <w:sz w:val="24"/>
        </w:rPr>
        <w:t>A diagnosis and history of a PPR on EEG with or without a diagnosis of</w:t>
      </w:r>
      <w:r>
        <w:rPr>
          <w:rFonts w:ascii="Arial" w:hAnsi="Arial" w:cs="Arial" w:eastAsia="Arial"/>
          <w:spacing w:val="-25"/>
          <w:sz w:val="24"/>
        </w:rPr>
        <w:t xml:space="preserve">  </w:t>
      </w:r>
      <w:r>
        <w:rPr>
          <w:rFonts w:ascii="Arial" w:hAnsi="Arial" w:cs="Arial" w:eastAsia="Arial"/>
          <w:sz w:val="24"/>
        </w:rPr>
        <w:t xml:space="preserve">  epilepsy.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5"/>
        </w:numPr>
        <w:tabs>
          <w:tab w:pos="580" w:val="left" w:leader="none"/>
        </w:tabs>
        <w:spacing w:line="276" w:lineRule="auto" w:before="0" w:after="0"/>
        <w:ind w:left="580" w:right="242" w:hanging="360"/>
        <w:jc w:val="left"/>
        <w:rPr>
          <w:sz w:val="24"/>
        </w:rPr>
      </w:pPr>
      <w:r>
        <w:rPr>
          <w:rFonts w:ascii="Arial" w:hAnsi="Arial" w:cs="Arial" w:eastAsia="Arial"/>
          <w:sz w:val="24"/>
        </w:rPr>
        <w:t>Currently taking up to a maximum of 3 concomitant antiepileptic drugs (AEDs).  If taking concomitant AED(s), the dose must have remained stable for at least 4 weeks</w:t>
      </w:r>
      <w:r>
        <w:rPr>
          <w:rFonts w:ascii="Arial" w:hAnsi="Arial" w:cs="Arial" w:eastAsia="Arial"/>
          <w:spacing w:val="-36"/>
          <w:sz w:val="24"/>
        </w:rPr>
        <w:t xml:space="preserve">  </w:t>
      </w:r>
      <w:r>
        <w:rPr>
          <w:rFonts w:ascii="Arial" w:hAnsi="Arial" w:cs="Arial" w:eastAsia="Arial"/>
          <w:sz w:val="24"/>
        </w:rPr>
        <w:t xml:space="preserve">  prior to</w:t>
      </w:r>
      <w:r>
        <w:rPr>
          <w:rFonts w:ascii="Arial" w:hAnsi="Arial" w:cs="Arial" w:eastAsia="Arial"/>
          <w:spacing w:val="-2"/>
          <w:sz w:val="24"/>
        </w:rPr>
        <w:t xml:space="preserve">  </w:t>
      </w:r>
      <w:r>
        <w:rPr>
          <w:rFonts w:ascii="Arial" w:hAnsi="Arial" w:cs="Arial" w:eastAsia="Arial"/>
          <w:sz w:val="24"/>
        </w:rPr>
        <w:t xml:space="preserve">  screening.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5"/>
        </w:numPr>
        <w:tabs>
          <w:tab w:pos="580" w:val="left" w:leader="none"/>
        </w:tabs>
        <w:spacing w:line="276" w:lineRule="auto" w:before="200" w:after="0"/>
        <w:ind w:left="580" w:right="395" w:hanging="360"/>
        <w:jc w:val="left"/>
        <w:rPr>
          <w:sz w:val="24"/>
        </w:rPr>
      </w:pPr>
      <w:r>
        <w:rPr>
          <w:rFonts w:ascii="Arial" w:hAnsi="Arial" w:cs="Arial" w:eastAsia="Arial"/>
          <w:sz w:val="24"/>
        </w:rPr>
        <w:t>A reproducible IPS-induced PPR on EEG of at least 3 points on a frequency assessment scale (SPR) in at least 1 eye condition on at least 3 of the EEGs performed at</w:t>
      </w:r>
      <w:r>
        <w:rPr>
          <w:rFonts w:ascii="Arial" w:hAnsi="Arial" w:cs="Arial" w:eastAsia="Arial"/>
          <w:spacing w:val="-31"/>
          <w:sz w:val="24"/>
        </w:rPr>
        <w:t xml:space="preserve">  </w:t>
      </w:r>
      <w:r>
        <w:rPr>
          <w:rFonts w:ascii="Arial" w:hAnsi="Arial" w:cs="Arial" w:eastAsia="Arial"/>
          <w:sz w:val="24"/>
        </w:rPr>
        <w:t xml:space="preserve">  Screening.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5"/>
        </w:numPr>
        <w:tabs>
          <w:tab w:pos="580" w:val="left" w:leader="none"/>
        </w:tabs>
        <w:spacing w:line="276" w:lineRule="auto" w:before="200" w:after="0"/>
        <w:ind w:left="580" w:right="248" w:hanging="360"/>
        <w:jc w:val="left"/>
        <w:rPr>
          <w:sz w:val="24"/>
        </w:rPr>
      </w:pPr>
      <w:r>
        <w:rPr>
          <w:rFonts w:ascii="Arial" w:hAnsi="Arial" w:cs="Arial" w:eastAsia="Arial"/>
          <w:sz w:val="24"/>
        </w:rPr>
        <w:t>A</w:t>
      </w:r>
      <w:r>
        <w:rPr>
          <w:rFonts w:ascii="Arial" w:hAnsi="Arial" w:cs="Arial" w:eastAsia="Arial"/>
          <w:spacing w:val="-2"/>
          <w:sz w:val="24"/>
        </w:rPr>
        <w:t xml:space="preserve">  </w:t>
      </w:r>
      <w:r>
        <w:rPr>
          <w:rFonts w:ascii="Arial" w:hAnsi="Arial" w:cs="Arial" w:eastAsia="Arial"/>
          <w:sz w:val="24"/>
        </w:rPr>
        <w:t xml:space="preserve">  body</w:t>
      </w:r>
      <w:r>
        <w:rPr>
          <w:rFonts w:ascii="Arial" w:hAnsi="Arial" w:cs="Arial" w:eastAsia="Arial"/>
          <w:spacing w:val="-6"/>
          <w:sz w:val="24"/>
        </w:rPr>
        <w:t xml:space="preserve">  </w:t>
      </w:r>
      <w:r>
        <w:rPr>
          <w:rFonts w:ascii="Arial" w:hAnsi="Arial" w:cs="Arial" w:eastAsia="Arial"/>
          <w:sz w:val="24"/>
        </w:rPr>
        <w:t xml:space="preserve">  mass</w:t>
      </w:r>
      <w:r>
        <w:rPr>
          <w:rFonts w:ascii="Arial" w:hAnsi="Arial" w:cs="Arial" w:eastAsia="Arial"/>
          <w:spacing w:val="-1"/>
          <w:sz w:val="24"/>
        </w:rPr>
        <w:t xml:space="preserve">  </w:t>
      </w:r>
      <w:r>
        <w:rPr>
          <w:rFonts w:ascii="Arial" w:hAnsi="Arial" w:cs="Arial" w:eastAsia="Arial"/>
          <w:sz w:val="24"/>
        </w:rPr>
        <w:t xml:space="preserve">  index</w:t>
      </w:r>
      <w:r>
        <w:rPr>
          <w:rFonts w:ascii="Arial" w:hAnsi="Arial" w:cs="Arial" w:eastAsia="Arial"/>
          <w:spacing w:val="-1"/>
          <w:sz w:val="24"/>
        </w:rPr>
        <w:t xml:space="preserve">  </w:t>
      </w:r>
      <w:r>
        <w:rPr>
          <w:rFonts w:ascii="Arial" w:hAnsi="Arial" w:cs="Arial" w:eastAsia="Arial"/>
          <w:sz w:val="24"/>
        </w:rPr>
        <w:t xml:space="preserve">  (BMI)</w:t>
      </w:r>
      <w:r>
        <w:rPr>
          <w:rFonts w:ascii="Arial" w:hAnsi="Arial" w:cs="Arial" w:eastAsia="Arial"/>
          <w:spacing w:val="-2"/>
          <w:sz w:val="24"/>
        </w:rPr>
        <w:t xml:space="preserve">  </w:t>
      </w:r>
      <w:r>
        <w:rPr>
          <w:rFonts w:ascii="Arial" w:hAnsi="Arial" w:cs="Arial" w:eastAsia="Arial"/>
          <w:sz w:val="24"/>
        </w:rPr>
        <w:t xml:space="preserve">  between</w:t>
      </w:r>
      <w:r>
        <w:rPr>
          <w:rFonts w:ascii="Arial" w:hAnsi="Arial" w:cs="Arial" w:eastAsia="Arial"/>
          <w:spacing w:val="-2"/>
          <w:sz w:val="24"/>
        </w:rPr>
        <w:t xml:space="preserve">  </w:t>
      </w:r>
      <w:r>
        <w:rPr>
          <w:rFonts w:ascii="Arial" w:hAnsi="Arial" w:cs="Arial" w:eastAsia="Arial"/>
          <w:sz w:val="24"/>
        </w:rPr>
        <w:t xml:space="preserve">  18</w:t>
      </w:r>
      <w:r>
        <w:rPr>
          <w:rFonts w:ascii="Arial" w:hAnsi="Arial" w:cs="Arial" w:eastAsia="Arial"/>
          <w:spacing w:val="-1"/>
          <w:sz w:val="24"/>
        </w:rPr>
        <w:t xml:space="preserve">  </w:t>
      </w:r>
      <w:r>
        <w:rPr>
          <w:rFonts w:ascii="Arial" w:hAnsi="Arial" w:cs="Arial" w:eastAsia="Arial"/>
          <w:sz w:val="24"/>
        </w:rPr>
        <w:t xml:space="preserve">  to</w:t>
      </w:r>
      <w:r>
        <w:rPr>
          <w:rFonts w:ascii="Arial" w:hAnsi="Arial" w:cs="Arial" w:eastAsia="Arial"/>
          <w:spacing w:val="-1"/>
          <w:sz w:val="24"/>
        </w:rPr>
        <w:t xml:space="preserve">  </w:t>
      </w:r>
      <w:r>
        <w:rPr>
          <w:rFonts w:ascii="Arial" w:hAnsi="Arial" w:cs="Arial" w:eastAsia="Arial"/>
          <w:sz w:val="24"/>
        </w:rPr>
        <w:t xml:space="preserve">  35</w:t>
      </w:r>
      <w:r>
        <w:rPr>
          <w:rFonts w:ascii="Arial" w:hAnsi="Arial" w:cs="Arial" w:eastAsia="Arial"/>
          <w:spacing w:val="-1"/>
          <w:sz w:val="24"/>
        </w:rPr>
        <w:t xml:space="preserve">  </w:t>
      </w:r>
      <w:r>
        <w:rPr>
          <w:rFonts w:ascii="Arial" w:hAnsi="Arial" w:cs="Arial" w:eastAsia="Arial"/>
          <w:sz w:val="24"/>
        </w:rPr>
        <w:t xml:space="preserve">  kg/m</w:t>
      </w:r>
      <w:r>
        <w:rPr>
          <w:rFonts w:ascii="Arial" w:hAnsi="Arial" w:cs="Arial" w:eastAsia="Arial"/>
          <w:sz w:val="24"/>
          <w:vertAlign w:val="superscript"/>
        </w:rPr>
        <w:t>2</w:t>
      </w:r>
      <w:r>
        <w:rPr>
          <w:rFonts w:ascii="Arial" w:hAnsi="Arial" w:cs="Arial" w:eastAsia="Arial"/>
          <w:spacing w:val="-19"/>
          <w:sz w:val="24"/>
          <w:vertAlign w:val="baseline"/>
        </w:rPr>
        <w:t xml:space="preserve">  </w:t>
      </w:r>
      <w:r>
        <w:rPr>
          <w:rFonts w:ascii="Arial" w:hAnsi="Arial" w:cs="Arial" w:eastAsia="Arial"/>
          <w:sz w:val="24"/>
          <w:vertAlign w:val="baseline"/>
        </w:rPr>
        <w:t xml:space="preserve">  and</w:t>
      </w:r>
      <w:r>
        <w:rPr>
          <w:rFonts w:ascii="Arial" w:hAnsi="Arial" w:cs="Arial" w:eastAsia="Arial"/>
          <w:spacing w:val="-1"/>
          <w:sz w:val="24"/>
          <w:vertAlign w:val="baseline"/>
        </w:rPr>
        <w:t xml:space="preserve">  </w:t>
      </w:r>
      <w:r>
        <w:rPr>
          <w:rFonts w:ascii="Arial" w:hAnsi="Arial" w:cs="Arial" w:eastAsia="Arial"/>
          <w:sz w:val="24"/>
          <w:vertAlign w:val="baseline"/>
        </w:rPr>
        <w:t xml:space="preserve">  a</w:t>
      </w:r>
      <w:r>
        <w:rPr>
          <w:rFonts w:ascii="Arial" w:hAnsi="Arial" w:cs="Arial" w:eastAsia="Arial"/>
          <w:spacing w:val="-1"/>
          <w:sz w:val="24"/>
          <w:vertAlign w:val="baseline"/>
        </w:rPr>
        <w:t xml:space="preserve">  </w:t>
      </w:r>
      <w:r>
        <w:rPr>
          <w:rFonts w:ascii="Arial" w:hAnsi="Arial" w:cs="Arial" w:eastAsia="Arial"/>
          <w:sz w:val="24"/>
          <w:vertAlign w:val="baseline"/>
        </w:rPr>
        <w:t xml:space="preserve">  total</w:t>
      </w:r>
      <w:r>
        <w:rPr>
          <w:rFonts w:ascii="Arial" w:hAnsi="Arial" w:cs="Arial" w:eastAsia="Arial"/>
          <w:spacing w:val="-1"/>
          <w:sz w:val="24"/>
          <w:vertAlign w:val="baseline"/>
        </w:rPr>
        <w:t xml:space="preserve">  </w:t>
      </w:r>
      <w:r>
        <w:rPr>
          <w:rFonts w:ascii="Arial" w:hAnsi="Arial" w:cs="Arial" w:eastAsia="Arial"/>
          <w:sz w:val="24"/>
          <w:vertAlign w:val="baseline"/>
        </w:rPr>
        <w:t xml:space="preserve">  body</w:t>
      </w:r>
      <w:r>
        <w:rPr>
          <w:rFonts w:ascii="Arial" w:hAnsi="Arial" w:cs="Arial" w:eastAsia="Arial"/>
          <w:spacing w:val="-6"/>
          <w:sz w:val="24"/>
          <w:vertAlign w:val="baseline"/>
        </w:rPr>
        <w:t xml:space="preserve">  </w:t>
      </w:r>
      <w:r>
        <w:rPr>
          <w:rFonts w:ascii="Arial" w:hAnsi="Arial" w:cs="Arial" w:eastAsia="Arial"/>
          <w:sz w:val="24"/>
          <w:vertAlign w:val="baseline"/>
        </w:rPr>
        <w:t xml:space="preserve">  weight</w:t>
      </w:r>
      <w:r>
        <w:rPr>
          <w:rFonts w:ascii="Arial" w:hAnsi="Arial" w:cs="Arial" w:eastAsia="Arial"/>
          <w:spacing w:val="-1"/>
          <w:sz w:val="24"/>
          <w:vertAlign w:val="baseline"/>
        </w:rPr>
        <w:t xml:space="preserve">  </w:t>
      </w:r>
      <w:r>
        <w:rPr>
          <w:rFonts w:ascii="Arial" w:hAnsi="Arial" w:cs="Arial" w:eastAsia="Arial"/>
          <w:sz w:val="24"/>
          <w:vertAlign w:val="baseline"/>
        </w:rPr>
        <w:t xml:space="preserve">  greater</w:t>
      </w:r>
      <w:r>
        <w:rPr>
          <w:rFonts w:ascii="Arial" w:hAnsi="Arial" w:cs="Arial" w:eastAsia="Arial"/>
          <w:spacing w:val="-2"/>
          <w:sz w:val="24"/>
          <w:vertAlign w:val="baseline"/>
        </w:rPr>
        <w:t xml:space="preserve">  </w:t>
      </w:r>
      <w:r>
        <w:rPr>
          <w:rFonts w:ascii="Arial" w:hAnsi="Arial" w:cs="Arial" w:eastAsia="Arial"/>
          <w:sz w:val="24"/>
          <w:vertAlign w:val="baseline"/>
        </w:rPr>
        <w:t xml:space="preserve">  than</w:t>
      </w:r>
      <w:r>
        <w:rPr>
          <w:rFonts w:ascii="Arial" w:hAnsi="Arial" w:cs="Arial" w:eastAsia="Arial"/>
          <w:spacing w:val="-2"/>
          <w:sz w:val="24"/>
          <w:vertAlign w:val="baseline"/>
        </w:rPr>
        <w:t xml:space="preserve">  </w:t>
      </w:r>
      <w:r>
        <w:rPr>
          <w:rFonts w:ascii="Arial" w:hAnsi="Arial" w:cs="Arial" w:eastAsia="Arial"/>
          <w:sz w:val="24"/>
          <w:vertAlign w:val="baseline"/>
        </w:rPr>
        <w:t xml:space="preserve">  or equal to 45 kg at the time of</w:t>
      </w:r>
      <w:r>
        <w:rPr>
          <w:rFonts w:ascii="Arial" w:hAnsi="Arial" w:cs="Arial" w:eastAsia="Arial"/>
          <w:spacing w:val="-6"/>
          <w:sz w:val="24"/>
          <w:vertAlign w:val="baseline"/>
        </w:rPr>
        <w:t xml:space="preserve">  </w:t>
      </w:r>
      <w:r>
        <w:rPr>
          <w:rFonts w:ascii="Arial" w:hAnsi="Arial" w:cs="Arial" w:eastAsia="Arial"/>
          <w:sz w:val="24"/>
          <w:vertAlign w:val="baseline"/>
        </w:rPr>
        <w:t xml:space="preserve">  Screening.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5"/>
        </w:numPr>
        <w:tabs>
          <w:tab w:pos="580" w:val="left" w:leader="none"/>
        </w:tabs>
        <w:spacing w:line="278" w:lineRule="auto" w:before="198" w:after="0"/>
        <w:ind w:left="580" w:right="548" w:hanging="360"/>
        <w:jc w:val="left"/>
        <w:rPr>
          <w:sz w:val="24"/>
        </w:rPr>
      </w:pPr>
      <w:r>
        <w:rPr>
          <w:rFonts w:ascii="Arial" w:hAnsi="Arial" w:cs="Arial" w:eastAsia="Arial"/>
          <w:sz w:val="24"/>
        </w:rPr>
        <w:t>Agrees to refrain from strenuous exercise and alcohol consumption during the</w:t>
      </w:r>
      <w:r>
        <w:rPr>
          <w:rFonts w:ascii="Arial" w:hAnsi="Arial" w:cs="Arial" w:eastAsia="Arial"/>
          <w:spacing w:val="-17"/>
          <w:sz w:val="24"/>
        </w:rPr>
        <w:t xml:space="preserve">  </w:t>
      </w:r>
      <w:r>
        <w:rPr>
          <w:rFonts w:ascii="Arial" w:hAnsi="Arial" w:cs="Arial" w:eastAsia="Arial"/>
          <w:sz w:val="24"/>
        </w:rPr>
        <w:t xml:space="preserve">  24-hour period before Screening and during the 24-hour period prior to each treatment</w:t>
      </w:r>
      <w:r>
        <w:rPr>
          <w:rFonts w:ascii="Arial" w:hAnsi="Arial" w:cs="Arial" w:eastAsia="Arial"/>
          <w:spacing w:val="-24"/>
          <w:sz w:val="24"/>
        </w:rPr>
        <w:t xml:space="preserve">  </w:t>
      </w:r>
      <w:r>
        <w:rPr>
          <w:rFonts w:ascii="Arial" w:hAnsi="Arial" w:cs="Arial" w:eastAsia="Arial"/>
          <w:sz w:val="24"/>
        </w:rPr>
        <w:t xml:space="preserve">  day.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5"/>
        </w:numPr>
        <w:tabs>
          <w:tab w:pos="580" w:val="left" w:leader="none"/>
        </w:tabs>
        <w:spacing w:line="240" w:lineRule="auto" w:before="195" w:after="0"/>
        <w:ind w:left="580" w:right="0" w:hanging="360"/>
        <w:jc w:val="left"/>
        <w:rPr>
          <w:sz w:val="24"/>
        </w:rPr>
      </w:pPr>
      <w:r>
        <w:rPr>
          <w:rFonts w:ascii="Arial" w:hAnsi="Arial" w:cs="Arial" w:eastAsia="Arial"/>
          <w:sz w:val="24"/>
        </w:rPr>
        <w:t>Willing and able to comply with all aspects of the</w:t>
      </w:r>
      <w:r>
        <w:rPr>
          <w:rFonts w:ascii="Arial" w:hAnsi="Arial" w:cs="Arial" w:eastAsia="Arial"/>
          <w:spacing w:val="-7"/>
          <w:sz w:val="24"/>
        </w:rPr>
        <w:t xml:space="preserve">  </w:t>
      </w:r>
      <w:r>
        <w:rPr>
          <w:rFonts w:ascii="Arial" w:hAnsi="Arial" w:cs="Arial" w:eastAsia="Arial"/>
          <w:sz w:val="24"/>
        </w:rPr>
        <w:t xml:space="preserve">  protocol.</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sz w:val="21"/>
        </w:rPr>
      </w:pPr>
    </w:p>
    <w:p>
      <w:r>
        <w:cr/>
      </w:r>
    </w:p>
    <w:p>
      <w:pPr>
        <w:pStyle w:val="Heading3"/>
        <w:keepNext w:val="on"/>
        <w:ind w:left="3"/>
      </w:pPr>
      <w:r>
        <w:rPr>
          <w:rFonts w:ascii="Arial" w:hAnsi="Arial" w:cs="Arial" w:eastAsia="Arial"/>
          <w:b w:val="true"/>
          <w:sz w:val="22"/>
        </w:rPr>
        <w:t xml:space="preserve">    9.3.2 </w:t>
        <w:t>EXCLUSION CRITERIA</w:t>
      </w:r>
      <w:bookmarkStart w:name="_EXCLUSION_CRITERIA" w:id="1270"/>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pPr>
      <w:r>
        <w:rPr>
          <w:rFonts w:ascii="Arial" w:hAnsi="Arial" w:cs="Arial" w:eastAsia="Arial"/>
        </w:rPr>
        <w:t>Subjects who meet any of the following criteria will be excluded from this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0" w:after="0"/>
        <w:ind w:left="580" w:right="283" w:hanging="360"/>
        <w:jc w:val="left"/>
        <w:rPr>
          <w:sz w:val="24"/>
        </w:rPr>
      </w:pPr>
      <w:r>
        <w:rPr>
          <w:rFonts w:ascii="Arial" w:hAnsi="Arial" w:cs="Arial" w:eastAsia="Arial"/>
          <w:sz w:val="24"/>
        </w:rPr>
        <w:t>Females who are breastfeeding or pregnant at Screening or Baseline (as documented by</w:t>
      </w:r>
      <w:r>
        <w:rPr>
          <w:rFonts w:ascii="Arial" w:hAnsi="Arial" w:cs="Arial" w:eastAsia="Arial"/>
          <w:spacing w:val="-21"/>
          <w:sz w:val="24"/>
        </w:rPr>
        <w:t xml:space="preserve">  </w:t>
      </w:r>
      <w:r>
        <w:rPr>
          <w:rFonts w:ascii="Arial" w:hAnsi="Arial" w:cs="Arial" w:eastAsia="Arial"/>
          <w:sz w:val="24"/>
        </w:rPr>
        <w:t xml:space="preserve">  a positive beta-human chorionic gonadotropin [ß-hCG] (or human chorionic gonadotropin [hCG]) test with a minimum sensitivity of 25 IU/L or equivalent units of ß-hCG [or hCG]). A separate baseline assessment is required if a negative screening pregnancy test was obtained more than 72 hours before the first dose of study</w:t>
      </w:r>
      <w:r>
        <w:rPr>
          <w:rFonts w:ascii="Arial" w:hAnsi="Arial" w:cs="Arial" w:eastAsia="Arial"/>
          <w:spacing w:val="-6"/>
          <w:sz w:val="24"/>
        </w:rPr>
        <w:t xml:space="preserve">  </w:t>
      </w:r>
      <w:r>
        <w:rPr>
          <w:rFonts w:ascii="Arial" w:hAnsi="Arial" w:cs="Arial" w:eastAsia="Arial"/>
          <w:sz w:val="24"/>
        </w:rPr>
        <w:t xml:space="preserve">  drug.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0" w:hanging="360"/>
        <w:jc w:val="left"/>
        <w:rPr>
          <w:sz w:val="24"/>
        </w:rPr>
      </w:pPr>
      <w:r>
        <w:rPr>
          <w:rFonts w:ascii="Arial" w:hAnsi="Arial" w:cs="Arial" w:eastAsia="Arial"/>
          <w:sz w:val="24"/>
        </w:rPr>
        <w:t>Females of childbearing potential</w:t>
      </w:r>
      <w:r>
        <w:rPr>
          <w:rFonts w:ascii="Arial" w:hAnsi="Arial" w:cs="Arial" w:eastAsia="Arial"/>
          <w:spacing w:val="-4"/>
          <w:sz w:val="24"/>
        </w:rPr>
        <w:t xml:space="preserve">  </w:t>
      </w:r>
      <w:r>
        <w:rPr>
          <w:rFonts w:ascii="Arial" w:hAnsi="Arial" w:cs="Arial" w:eastAsia="Arial"/>
          <w:sz w:val="24"/>
        </w:rPr>
        <w:t xml:space="preserve">  who: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1"/>
          <w:numId w:val="16"/>
        </w:numPr>
        <w:tabs>
          <w:tab w:pos="940" w:val="left" w:leader="none"/>
        </w:tabs>
        <w:spacing w:line="240" w:lineRule="auto" w:before="60" w:after="0"/>
        <w:ind w:left="940" w:right="481" w:hanging="360"/>
        <w:jc w:val="left"/>
        <w:rPr>
          <w:sz w:val="24"/>
        </w:rPr>
      </w:pPr>
      <w:r>
        <w:rPr>
          <w:rFonts w:ascii="Arial" w:hAnsi="Arial" w:cs="Arial" w:eastAsia="Arial"/>
          <w:sz w:val="24"/>
        </w:rPr>
        <w:t>Within 30 days before study entry, have had unprotected sexual intercourse and</w:t>
      </w:r>
      <w:r>
        <w:rPr>
          <w:rFonts w:ascii="Arial" w:hAnsi="Arial" w:cs="Arial" w:eastAsia="Arial"/>
          <w:spacing w:val="-22"/>
          <w:sz w:val="24"/>
        </w:rPr>
        <w:t xml:space="preserve">  </w:t>
      </w:r>
      <w:r>
        <w:rPr>
          <w:rFonts w:ascii="Arial" w:hAnsi="Arial" w:cs="Arial" w:eastAsia="Arial"/>
          <w:sz w:val="24"/>
        </w:rPr>
        <w:t xml:space="preserve">  did not use a highly effective method of contraception (eg, total abstinence, an intrauterine device, a double-barrier method [such as condom plus diaphragm with spermicide], a contraceptive implant, an oral contraceptive, or have a vasectomized partner with confirmed</w:t>
      </w:r>
      <w:r>
        <w:rPr>
          <w:rFonts w:ascii="Arial" w:hAnsi="Arial" w:cs="Arial" w:eastAsia="Arial"/>
          <w:spacing w:val="-3"/>
          <w:sz w:val="24"/>
        </w:rPr>
        <w:t xml:space="preserve">  </w:t>
      </w:r>
      <w:r>
        <w:rPr>
          <w:rFonts w:ascii="Arial" w:hAnsi="Arial" w:cs="Arial" w:eastAsia="Arial"/>
          <w:sz w:val="24"/>
        </w:rPr>
        <w:t xml:space="preserve">  azoospermia)</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1"/>
          <w:numId w:val="16"/>
        </w:numPr>
        <w:tabs>
          <w:tab w:pos="940" w:val="left" w:leader="none"/>
        </w:tabs>
        <w:spacing w:line="240" w:lineRule="auto" w:before="60" w:after="0"/>
        <w:ind w:left="940" w:right="229" w:hanging="360"/>
        <w:jc w:val="left"/>
        <w:rPr>
          <w:sz w:val="24"/>
        </w:rPr>
      </w:pPr>
      <w:r>
        <w:rPr>
          <w:rFonts w:ascii="Arial" w:hAnsi="Arial" w:cs="Arial" w:eastAsia="Arial"/>
          <w:sz w:val="24"/>
        </w:rPr>
        <w:t>Do not agree to use a highly effective method of contraception (as described above) throughout the entire study period and for 28 days after study drug discontinuation.</w:t>
      </w:r>
      <w:r>
        <w:rPr>
          <w:rFonts w:ascii="Arial" w:hAnsi="Arial" w:cs="Arial" w:eastAsia="Arial"/>
          <w:spacing w:val="51"/>
          <w:sz w:val="24"/>
        </w:rPr>
        <w:t xml:space="preserve">  </w:t>
      </w:r>
      <w:r>
        <w:rPr>
          <w:rFonts w:ascii="Arial" w:hAnsi="Arial" w:cs="Arial" w:eastAsia="Arial"/>
          <w:spacing w:val="-3"/>
          <w:sz w:val="24"/>
        </w:rPr>
        <w:t xml:space="preserve">  If</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940" w:right="225"/>
      </w:pPr>
      <w:r>
        <w:rPr>
          <w:rFonts w:ascii="Arial" w:hAnsi="Arial" w:cs="Arial" w:eastAsia="Arial"/>
        </w:rPr>
        <w:t>currently abstinent, the subject must agree to use a double barrier method as</w:t>
      </w:r>
      <w:r>
        <w:rPr>
          <w:rFonts w:ascii="Arial" w:hAnsi="Arial" w:cs="Arial" w:eastAsia="Arial"/>
          <w:spacing w:val="-43"/>
        </w:rPr>
        <w:t xml:space="preserve">  </w:t>
      </w:r>
      <w:r>
        <w:rPr>
          <w:rFonts w:ascii="Arial" w:hAnsi="Arial" w:cs="Arial" w:eastAsia="Arial"/>
        </w:rPr>
        <w:t xml:space="preserve">  described above if she becomes sexually active during the study period or for 28 days after study drug discontinuation. Females who are using hormonal contraceptives must be on a stable dose of the same hormonal contraceptive product for at least 4 weeks before dosing and must continue to use the same contraceptive during the study and for 28 days after study drug</w:t>
      </w:r>
      <w:r>
        <w:rPr>
          <w:rFonts w:ascii="Arial" w:hAnsi="Arial" w:cs="Arial" w:eastAsia="Arial"/>
          <w:spacing w:val="-6"/>
        </w:rPr>
        <w:t xml:space="preserve">  </w:t>
      </w:r>
      <w:r>
        <w:rPr>
          <w:rFonts w:ascii="Arial" w:hAnsi="Arial" w:cs="Arial" w:eastAsia="Arial"/>
        </w:rPr>
        <w:t xml:space="preserve">  discontinuation.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0"/>
        <w:ind w:left="580" w:right="282"/>
      </w:pPr>
      <w:r>
        <w:rPr>
          <w:rFonts w:ascii="Arial" w:hAnsi="Arial" w:cs="Arial" w:eastAsia="Arial"/>
        </w:rPr>
        <w:t>NOTE: All females will be considered to be of childbearing potential unless they are postmenopausal (amenorrheic for at least 12 consecutive months, in the appropriate age group and without other known or suspected cause) or have been sterilized surgically (ie, bilateral tubal ligation, total hysterectomy, or bilateral oophorectomy, all with surgery at least 1 month before dosing).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257" w:hanging="360"/>
        <w:jc w:val="left"/>
        <w:rPr>
          <w:sz w:val="24"/>
        </w:rPr>
      </w:pPr>
      <w:r>
        <w:rPr>
          <w:rFonts w:ascii="Arial" w:hAnsi="Arial" w:cs="Arial" w:eastAsia="Arial"/>
          <w:sz w:val="24"/>
        </w:rPr>
        <w:t>Male subjects who have not had a successful vasectomy (confirmed azoospermia) or they and their female partners do not meet the criteria above (ie, not of childbearing potential or practicing highly effective contraception throughout the study period and for 28 days after study drug discontinuation). No sperm donation is allowed during the study period and for 28 days after study drug</w:t>
      </w:r>
      <w:r>
        <w:rPr>
          <w:rFonts w:ascii="Arial" w:hAnsi="Arial" w:cs="Arial" w:eastAsia="Arial"/>
          <w:spacing w:val="-8"/>
          <w:sz w:val="24"/>
        </w:rPr>
        <w:t xml:space="preserve">  </w:t>
      </w:r>
      <w:r>
        <w:rPr>
          <w:rFonts w:ascii="Arial" w:hAnsi="Arial" w:cs="Arial" w:eastAsia="Arial"/>
          <w:sz w:val="24"/>
        </w:rPr>
        <w:t xml:space="preserve">  discontinuation.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535" w:hanging="360"/>
        <w:jc w:val="left"/>
        <w:rPr>
          <w:sz w:val="24"/>
        </w:rPr>
      </w:pPr>
      <w:r>
        <w:rPr>
          <w:rFonts w:ascii="Arial" w:hAnsi="Arial" w:cs="Arial" w:eastAsia="Arial"/>
          <w:sz w:val="24"/>
        </w:rPr>
        <w:t>History of nonepileptic seizures (eg, metabolic, structural, or pseudoseizures) while</w:t>
      </w:r>
      <w:r>
        <w:rPr>
          <w:rFonts w:ascii="Arial" w:hAnsi="Arial" w:cs="Arial" w:eastAsia="Arial"/>
          <w:spacing w:val="-23"/>
          <w:sz w:val="24"/>
        </w:rPr>
        <w:t xml:space="preserve">  </w:t>
      </w:r>
      <w:r>
        <w:rPr>
          <w:rFonts w:ascii="Arial" w:hAnsi="Arial" w:cs="Arial" w:eastAsia="Arial"/>
          <w:sz w:val="24"/>
        </w:rPr>
        <w:t xml:space="preserve">  on any antiepileptic</w:t>
      </w:r>
      <w:r>
        <w:rPr>
          <w:rFonts w:ascii="Arial" w:hAnsi="Arial" w:cs="Arial" w:eastAsia="Arial"/>
          <w:spacing w:val="-6"/>
          <w:sz w:val="24"/>
        </w:rPr>
        <w:t xml:space="preserve">  </w:t>
      </w:r>
      <w:r>
        <w:rPr>
          <w:rFonts w:ascii="Arial" w:hAnsi="Arial" w:cs="Arial" w:eastAsia="Arial"/>
          <w:sz w:val="24"/>
        </w:rPr>
        <w:t xml:space="preserve">  medication(s).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301" w:hanging="360"/>
        <w:jc w:val="left"/>
        <w:rPr>
          <w:sz w:val="24"/>
        </w:rPr>
      </w:pPr>
      <w:r>
        <w:rPr>
          <w:rFonts w:ascii="Arial" w:hAnsi="Arial" w:cs="Arial" w:eastAsia="Arial"/>
          <w:sz w:val="24"/>
        </w:rPr>
        <w:t>History of status epilepticus while on any antiepileptic medication(s) within 2 years</w:t>
      </w:r>
      <w:r>
        <w:rPr>
          <w:rFonts w:ascii="Arial" w:hAnsi="Arial" w:cs="Arial" w:eastAsia="Arial"/>
          <w:spacing w:val="-24"/>
          <w:sz w:val="24"/>
        </w:rPr>
        <w:t xml:space="preserve">  </w:t>
      </w:r>
      <w:r>
        <w:rPr>
          <w:rFonts w:ascii="Arial" w:hAnsi="Arial" w:cs="Arial" w:eastAsia="Arial"/>
          <w:sz w:val="24"/>
        </w:rPr>
        <w:t xml:space="preserve">  prior to</w:t>
      </w:r>
      <w:r>
        <w:rPr>
          <w:rFonts w:ascii="Arial" w:hAnsi="Arial" w:cs="Arial" w:eastAsia="Arial"/>
          <w:spacing w:val="-1"/>
          <w:sz w:val="24"/>
        </w:rPr>
        <w:t xml:space="preserve">  </w:t>
      </w:r>
      <w:r>
        <w:rPr>
          <w:rFonts w:ascii="Arial" w:hAnsi="Arial" w:cs="Arial" w:eastAsia="Arial"/>
          <w:sz w:val="24"/>
        </w:rPr>
        <w:t xml:space="preserve">  Screening.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1174" w:hanging="360"/>
        <w:jc w:val="left"/>
        <w:rPr>
          <w:sz w:val="24"/>
        </w:rPr>
      </w:pPr>
      <w:r>
        <w:rPr>
          <w:rFonts w:ascii="Arial" w:hAnsi="Arial" w:cs="Arial" w:eastAsia="Arial"/>
          <w:sz w:val="24"/>
        </w:rPr>
        <w:t>Ongoing or history of generalized tonic-clonic seizures within 6 months prior</w:t>
      </w:r>
      <w:r>
        <w:rPr>
          <w:rFonts w:ascii="Arial" w:hAnsi="Arial" w:cs="Arial" w:eastAsia="Arial"/>
          <w:spacing w:val="-25"/>
          <w:sz w:val="24"/>
        </w:rPr>
        <w:t xml:space="preserve">  </w:t>
      </w:r>
      <w:r>
        <w:rPr>
          <w:rFonts w:ascii="Arial" w:hAnsi="Arial" w:cs="Arial" w:eastAsia="Arial"/>
          <w:sz w:val="24"/>
        </w:rPr>
        <w:t xml:space="preserve">  to Screening.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333" w:hanging="360"/>
        <w:jc w:val="left"/>
        <w:rPr>
          <w:sz w:val="24"/>
        </w:rPr>
      </w:pPr>
      <w:r>
        <w:rPr>
          <w:rFonts w:ascii="Arial" w:hAnsi="Arial" w:cs="Arial" w:eastAsia="Arial"/>
          <w:sz w:val="24"/>
        </w:rPr>
        <w:t>Previously developed or who experienced a clinical seizure during prior PPR assessment or screening IPS procedure,</w:t>
      </w:r>
      <w:r>
        <w:rPr>
          <w:rFonts w:ascii="Arial" w:hAnsi="Arial" w:cs="Arial" w:eastAsia="Arial"/>
          <w:spacing w:val="2"/>
          <w:sz w:val="24"/>
        </w:rPr>
        <w:t xml:space="preserve">  </w:t>
      </w:r>
      <w:r>
        <w:rPr>
          <w:rFonts w:ascii="Arial" w:hAnsi="Arial" w:cs="Arial" w:eastAsia="Arial"/>
          <w:sz w:val="24"/>
        </w:rPr>
        <w:t xml:space="preserve">  respectively.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1007" w:hanging="360"/>
        <w:jc w:val="left"/>
        <w:rPr>
          <w:sz w:val="24"/>
        </w:rPr>
      </w:pPr>
      <w:r>
        <w:rPr>
          <w:rFonts w:ascii="Arial" w:hAnsi="Arial" w:cs="Arial" w:eastAsia="Arial"/>
          <w:sz w:val="24"/>
        </w:rPr>
        <w:t>Use of AEDs </w:t>
      </w:r>
      <w:r>
        <w:rPr>
          <w:rFonts w:ascii="Arial" w:hAnsi="Arial" w:cs="Arial" w:eastAsia="Arial"/>
          <w:sz w:val="22"/>
        </w:rPr>
        <w:t xml:space="preserve">  that affect GABA (</w:t>
      </w:r>
      <w:r>
        <w:rPr>
          <w:rFonts w:ascii="Arial" w:hAnsi="Arial" w:cs="Arial" w:eastAsia="Arial"/>
          <w:sz w:val="24"/>
        </w:rPr>
        <w:t>GABAergic AEDs) (such as tiagabine, vigabatrin, gabapentin, and pregabalin) within 3 months prior to</w:t>
      </w:r>
      <w:r>
        <w:rPr>
          <w:rFonts w:ascii="Arial" w:hAnsi="Arial" w:cs="Arial" w:eastAsia="Arial"/>
          <w:spacing w:val="-7"/>
          <w:sz w:val="24"/>
        </w:rPr>
        <w:t xml:space="preserve">  </w:t>
      </w:r>
      <w:r>
        <w:rPr>
          <w:rFonts w:ascii="Arial" w:hAnsi="Arial" w:cs="Arial" w:eastAsia="Arial"/>
          <w:sz w:val="24"/>
        </w:rPr>
        <w:t xml:space="preserve">  Screening.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220" w:hanging="360"/>
        <w:jc w:val="left"/>
        <w:rPr>
          <w:sz w:val="24"/>
        </w:rPr>
      </w:pPr>
      <w:r>
        <w:rPr>
          <w:rFonts w:ascii="Arial" w:hAnsi="Arial" w:cs="Arial" w:eastAsia="Arial"/>
          <w:sz w:val="24"/>
        </w:rPr>
        <w:t>Multiple drug allergies or a severe drug reaction to AED(s), including dermatological (eg, Stevens-Johnson syndrome), hematological, or organ toxicity</w:t>
      </w:r>
      <w:r>
        <w:rPr>
          <w:rFonts w:ascii="Arial" w:hAnsi="Arial" w:cs="Arial" w:eastAsia="Arial"/>
          <w:spacing w:val="-7"/>
          <w:sz w:val="24"/>
        </w:rPr>
        <w:t xml:space="preserve">  </w:t>
      </w:r>
      <w:r>
        <w:rPr>
          <w:rFonts w:ascii="Arial" w:hAnsi="Arial" w:cs="Arial" w:eastAsia="Arial"/>
          <w:sz w:val="24"/>
        </w:rPr>
        <w:t xml:space="preserve">  reactions.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292" w:hanging="360"/>
        <w:jc w:val="left"/>
        <w:rPr>
          <w:sz w:val="24"/>
        </w:rPr>
      </w:pPr>
      <w:r>
        <w:rPr>
          <w:rFonts w:ascii="Arial" w:hAnsi="Arial" w:cs="Arial" w:eastAsia="Arial"/>
          <w:sz w:val="24"/>
        </w:rPr>
        <w:t>Current evidence of clinically significant disease (eg, cardiac, respiratory, gastrointestinal, renal disease) with the exception of epilepsy, which in the opinion of the investigator could affect the subject’s safety or interfere with the study</w:t>
      </w:r>
      <w:r>
        <w:rPr>
          <w:rFonts w:ascii="Arial" w:hAnsi="Arial" w:cs="Arial" w:eastAsia="Arial"/>
          <w:spacing w:val="-20"/>
          <w:sz w:val="24"/>
        </w:rPr>
        <w:t xml:space="preserve">  </w:t>
      </w:r>
      <w:r>
        <w:rPr>
          <w:rFonts w:ascii="Arial" w:hAnsi="Arial" w:cs="Arial" w:eastAsia="Arial"/>
          <w:sz w:val="24"/>
        </w:rPr>
        <w:t xml:space="preserve">  assessments.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469" w:hanging="360"/>
        <w:jc w:val="both"/>
        <w:rPr>
          <w:sz w:val="24"/>
        </w:rPr>
      </w:pPr>
      <w:r>
        <w:rPr>
          <w:rFonts w:ascii="Arial" w:hAnsi="Arial" w:cs="Arial" w:eastAsia="Arial"/>
          <w:sz w:val="24"/>
        </w:rPr>
        <w:t>An active central nervous system (CNS) infection, demyelinating disease, degenerative neurological disease or any CNS disease deemed to be progressive during the course </w:t>
      </w:r>
      <w:r>
        <w:rPr>
          <w:rFonts w:ascii="Arial" w:hAnsi="Arial" w:cs="Arial" w:eastAsia="Arial"/>
          <w:spacing w:val="-8"/>
          <w:sz w:val="24"/>
        </w:rPr>
        <w:t xml:space="preserve">  of </w:t>
      </w:r>
      <w:r>
        <w:rPr>
          <w:rFonts w:ascii="Arial" w:hAnsi="Arial" w:cs="Arial" w:eastAsia="Arial"/>
          <w:sz w:val="24"/>
        </w:rPr>
        <w:t xml:space="preserve">  the study that may confound the interpretation of the study</w:t>
      </w:r>
      <w:r>
        <w:rPr>
          <w:rFonts w:ascii="Arial" w:hAnsi="Arial" w:cs="Arial" w:eastAsia="Arial"/>
          <w:spacing w:val="-16"/>
          <w:sz w:val="24"/>
        </w:rPr>
        <w:t xml:space="preserve">  </w:t>
      </w:r>
      <w:r>
        <w:rPr>
          <w:rFonts w:ascii="Arial" w:hAnsi="Arial" w:cs="Arial" w:eastAsia="Arial"/>
          <w:sz w:val="24"/>
        </w:rPr>
        <w:t xml:space="preserve">  results.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323" w:hanging="360"/>
        <w:jc w:val="left"/>
        <w:rPr>
          <w:sz w:val="24"/>
        </w:rPr>
      </w:pPr>
      <w:r>
        <w:rPr>
          <w:rFonts w:ascii="Arial" w:hAnsi="Arial" w:cs="Arial" w:eastAsia="Arial"/>
          <w:sz w:val="24"/>
        </w:rPr>
        <w:t>Current evidence of clinically significant active liver disease, porphyria, or with a family history of severe hepatic dysfunction indicated by abnormal liver function tests greater than 3 times the upper limit of normal (aspartate aminotransferase [AST] and alanine aminotransferase</w:t>
      </w:r>
      <w:r>
        <w:rPr>
          <w:rFonts w:ascii="Arial" w:hAnsi="Arial" w:cs="Arial" w:eastAsia="Arial"/>
          <w:spacing w:val="-1"/>
          <w:sz w:val="24"/>
        </w:rPr>
        <w:t xml:space="preserve">  </w:t>
      </w:r>
      <w:r>
        <w:rPr>
          <w:rFonts w:ascii="Arial" w:hAnsi="Arial" w:cs="Arial" w:eastAsia="Arial"/>
          <w:sz w:val="24"/>
        </w:rPr>
        <w:t xml:space="preserve">  [ALT]).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0" w:hanging="360"/>
        <w:jc w:val="left"/>
        <w:rPr>
          <w:sz w:val="24"/>
        </w:rPr>
      </w:pPr>
      <w:r>
        <w:rPr>
          <w:rFonts w:ascii="Arial" w:hAnsi="Arial" w:cs="Arial" w:eastAsia="Arial"/>
          <w:sz w:val="24"/>
        </w:rPr>
        <w:t>Active viral hepatitis (B or C) as demonstrated by positive serology at</w:t>
      </w:r>
      <w:r>
        <w:rPr>
          <w:rFonts w:ascii="Arial" w:hAnsi="Arial" w:cs="Arial" w:eastAsia="Arial"/>
          <w:spacing w:val="-32"/>
          <w:sz w:val="24"/>
        </w:rPr>
        <w:t xml:space="preserve">  </w:t>
      </w:r>
      <w:r>
        <w:rPr>
          <w:rFonts w:ascii="Arial" w:hAnsi="Arial" w:cs="Arial" w:eastAsia="Arial"/>
          <w:sz w:val="24"/>
        </w:rPr>
        <w:t xml:space="preserve">  Screening.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0" w:hanging="360"/>
        <w:jc w:val="left"/>
        <w:rPr>
          <w:sz w:val="24"/>
        </w:rPr>
      </w:pPr>
      <w:r>
        <w:rPr>
          <w:rFonts w:ascii="Arial" w:hAnsi="Arial" w:cs="Arial" w:eastAsia="Arial"/>
          <w:sz w:val="24"/>
        </w:rPr>
        <w:t>Known to be human immunodeficiency virus (HIV)</w:t>
      </w:r>
      <w:r>
        <w:rPr>
          <w:rFonts w:ascii="Arial" w:hAnsi="Arial" w:cs="Arial" w:eastAsia="Arial"/>
          <w:spacing w:val="-7"/>
          <w:sz w:val="24"/>
        </w:rPr>
        <w:t xml:space="preserve">  </w:t>
      </w:r>
      <w:r>
        <w:rPr>
          <w:rFonts w:ascii="Arial" w:hAnsi="Arial" w:cs="Arial" w:eastAsia="Arial"/>
          <w:sz w:val="24"/>
        </w:rPr>
        <w:t xml:space="preserve">  positive.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436" w:hanging="360"/>
        <w:jc w:val="left"/>
        <w:rPr>
          <w:sz w:val="24"/>
        </w:rPr>
      </w:pPr>
      <w:r>
        <w:rPr>
          <w:rFonts w:ascii="Arial" w:hAnsi="Arial" w:cs="Arial" w:eastAsia="Arial"/>
          <w:sz w:val="24"/>
        </w:rPr>
        <w:t>History of drug or alcohol dependency or abuse within the 12 months before</w:t>
      </w:r>
      <w:r>
        <w:rPr>
          <w:rFonts w:ascii="Arial" w:hAnsi="Arial" w:cs="Arial" w:eastAsia="Arial"/>
          <w:spacing w:val="-36"/>
          <w:sz w:val="24"/>
        </w:rPr>
        <w:t xml:space="preserve">  </w:t>
      </w:r>
      <w:r>
        <w:rPr>
          <w:rFonts w:ascii="Arial" w:hAnsi="Arial" w:cs="Arial" w:eastAsia="Arial"/>
          <w:sz w:val="24"/>
        </w:rPr>
        <w:t xml:space="preserve">  Screening, or those who have a positive drug test or alcohol test at</w:t>
      </w:r>
      <w:r>
        <w:rPr>
          <w:rFonts w:ascii="Arial" w:hAnsi="Arial" w:cs="Arial" w:eastAsia="Arial"/>
          <w:spacing w:val="-13"/>
          <w:sz w:val="24"/>
        </w:rPr>
        <w:t xml:space="preserve">  </w:t>
      </w:r>
      <w:r>
        <w:rPr>
          <w:rFonts w:ascii="Arial" w:hAnsi="Arial" w:cs="Arial" w:eastAsia="Arial"/>
          <w:sz w:val="24"/>
        </w:rPr>
        <w:t xml:space="preserve">  Screening.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80" w:after="0"/>
        <w:ind w:left="580" w:right="0" w:hanging="360"/>
        <w:jc w:val="left"/>
        <w:rPr>
          <w:sz w:val="24"/>
        </w:rPr>
      </w:pPr>
      <w:r>
        <w:rPr>
          <w:rFonts w:ascii="Arial" w:hAnsi="Arial" w:cs="Arial" w:eastAsia="Arial"/>
          <w:sz w:val="24"/>
        </w:rPr>
        <w:t>Concomitant use of cannabinoids.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1019" w:hanging="360"/>
        <w:jc w:val="left"/>
        <w:rPr>
          <w:sz w:val="24"/>
        </w:rPr>
      </w:pPr>
      <w:r>
        <w:rPr>
          <w:rFonts w:ascii="Arial" w:hAnsi="Arial" w:cs="Arial" w:eastAsia="Arial"/>
          <w:sz w:val="24"/>
        </w:rPr>
        <w:t>Inability to follow restriction on watching television, or use of any device with an animated screen (ie, computer, video games, tablets) 24 hours before</w:t>
      </w:r>
      <w:r>
        <w:rPr>
          <w:rFonts w:ascii="Arial" w:hAnsi="Arial" w:cs="Arial" w:eastAsia="Arial"/>
          <w:spacing w:val="-11"/>
          <w:sz w:val="24"/>
        </w:rPr>
        <w:t xml:space="preserve">  </w:t>
      </w:r>
      <w:r>
        <w:rPr>
          <w:rFonts w:ascii="Arial" w:hAnsi="Arial" w:cs="Arial" w:eastAsia="Arial"/>
          <w:sz w:val="24"/>
        </w:rPr>
        <w:t xml:space="preserve">  dosing.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503" w:hanging="360"/>
        <w:jc w:val="left"/>
        <w:rPr>
          <w:sz w:val="24"/>
        </w:rPr>
      </w:pPr>
      <w:r>
        <w:rPr>
          <w:rFonts w:ascii="Arial" w:hAnsi="Arial" w:cs="Arial" w:eastAsia="Arial"/>
          <w:sz w:val="24"/>
        </w:rPr>
        <w:t>A history of prolonged QT syndrome or risk factors for torsade de pointes (eg, heart failure, hypokalemia, family history of long QT Syndrome), or the use of concomitant medications that prolonged the QT/corrected QT (QTc) interval; or prolonged</w:t>
      </w:r>
      <w:r>
        <w:rPr>
          <w:rFonts w:ascii="Arial" w:hAnsi="Arial" w:cs="Arial" w:eastAsia="Arial"/>
          <w:spacing w:val="-26"/>
          <w:sz w:val="24"/>
        </w:rPr>
        <w:t xml:space="preserve">  </w:t>
      </w:r>
      <w:r>
        <w:rPr>
          <w:rFonts w:ascii="Arial" w:hAnsi="Arial" w:cs="Arial" w:eastAsia="Arial"/>
          <w:sz w:val="24"/>
        </w:rPr>
        <w:t xml:space="preserve">  QT/QTc interval (QTc &gt;450 msec) demonstrated on ECG at Screening or Baseline (based on average of triplicate</w:t>
      </w:r>
      <w:r>
        <w:rPr>
          <w:rFonts w:ascii="Arial" w:hAnsi="Arial" w:cs="Arial" w:eastAsia="Arial"/>
          <w:spacing w:val="-4"/>
          <w:sz w:val="24"/>
        </w:rPr>
        <w:t xml:space="preserve">  </w:t>
      </w:r>
      <w:r>
        <w:rPr>
          <w:rFonts w:ascii="Arial" w:hAnsi="Arial" w:cs="Arial" w:eastAsia="Arial"/>
          <w:sz w:val="24"/>
        </w:rPr>
        <w:t xml:space="preserve">  ECGs).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222" w:hanging="360"/>
        <w:jc w:val="left"/>
        <w:rPr>
          <w:sz w:val="24"/>
        </w:rPr>
      </w:pPr>
      <w:r>
        <w:rPr>
          <w:rFonts w:ascii="Arial" w:hAnsi="Arial" w:cs="Arial" w:eastAsia="Arial"/>
          <w:sz w:val="24"/>
        </w:rPr>
        <w:t>Any suicidal ideation with intent with or without a plan within 6 months before</w:t>
      </w:r>
      <w:r>
        <w:rPr>
          <w:rFonts w:ascii="Arial" w:hAnsi="Arial" w:cs="Arial" w:eastAsia="Arial"/>
          <w:spacing w:val="-42"/>
          <w:sz w:val="24"/>
        </w:rPr>
        <w:t xml:space="preserve">  </w:t>
      </w:r>
      <w:r>
        <w:rPr>
          <w:rFonts w:ascii="Arial" w:hAnsi="Arial" w:cs="Arial" w:eastAsia="Arial"/>
          <w:sz w:val="24"/>
        </w:rPr>
        <w:t xml:space="preserve">  Screening or during Screening (ie, answering “Yes” to questions 4 or 5 on the Suicidal Ideation section of the</w:t>
      </w:r>
      <w:r>
        <w:rPr>
          <w:rFonts w:ascii="Arial" w:hAnsi="Arial" w:cs="Arial" w:eastAsia="Arial"/>
          <w:spacing w:val="-4"/>
          <w:sz w:val="24"/>
        </w:rPr>
        <w:t xml:space="preserve">  </w:t>
      </w:r>
      <w:r>
        <w:rPr>
          <w:rFonts w:ascii="Arial" w:hAnsi="Arial" w:cs="Arial" w:eastAsia="Arial"/>
          <w:sz w:val="24"/>
        </w:rPr>
        <w:t xml:space="preserve">  C-SSRS).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0" w:hanging="360"/>
        <w:jc w:val="left"/>
        <w:rPr>
          <w:sz w:val="24"/>
        </w:rPr>
      </w:pPr>
      <w:r>
        <w:rPr>
          <w:rFonts w:ascii="Arial" w:hAnsi="Arial" w:cs="Arial" w:eastAsia="Arial"/>
          <w:sz w:val="24"/>
        </w:rPr>
        <w:t>Any lifetime suicidal behavior (per the Suicidal Behavior section of the</w:t>
      </w:r>
      <w:r>
        <w:rPr>
          <w:rFonts w:ascii="Arial" w:hAnsi="Arial" w:cs="Arial" w:eastAsia="Arial"/>
          <w:spacing w:val="-16"/>
          <w:sz w:val="24"/>
        </w:rPr>
        <w:t xml:space="preserve">  </w:t>
      </w:r>
      <w:r>
        <w:rPr>
          <w:rFonts w:ascii="Arial" w:hAnsi="Arial" w:cs="Arial" w:eastAsia="Arial"/>
          <w:sz w:val="24"/>
        </w:rPr>
        <w:t xml:space="preserve">  C-SSRS).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616" w:hanging="360"/>
        <w:jc w:val="left"/>
        <w:rPr>
          <w:sz w:val="24"/>
        </w:rPr>
      </w:pPr>
      <w:r>
        <w:rPr>
          <w:rFonts w:ascii="Arial" w:hAnsi="Arial" w:cs="Arial" w:eastAsia="Arial"/>
          <w:sz w:val="24"/>
        </w:rPr>
        <w:t>Any psychotic disorder(s) or unstable recurrent affective disorder(s) evident by use </w:t>
      </w:r>
      <w:r>
        <w:rPr>
          <w:rFonts w:ascii="Arial" w:hAnsi="Arial" w:cs="Arial" w:eastAsia="Arial"/>
          <w:spacing w:val="-6"/>
          <w:sz w:val="24"/>
        </w:rPr>
        <w:t xml:space="preserve">  of </w:t>
      </w:r>
      <w:r>
        <w:rPr>
          <w:rFonts w:ascii="Arial" w:hAnsi="Arial" w:cs="Arial" w:eastAsia="Arial"/>
          <w:sz w:val="24"/>
        </w:rPr>
        <w:t xml:space="preserve">  antipsychotics or prior suicide attempt(s) within approximately the last 2</w:t>
      </w:r>
      <w:r>
        <w:rPr>
          <w:rFonts w:ascii="Arial" w:hAnsi="Arial" w:cs="Arial" w:eastAsia="Arial"/>
          <w:spacing w:val="-10"/>
          <w:sz w:val="24"/>
        </w:rPr>
        <w:t xml:space="preserve">  </w:t>
      </w:r>
      <w:r>
        <w:rPr>
          <w:rFonts w:ascii="Arial" w:hAnsi="Arial" w:cs="Arial" w:eastAsia="Arial"/>
          <w:sz w:val="24"/>
        </w:rPr>
        <w:t xml:space="preserve">  years.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480" w:hanging="360"/>
        <w:jc w:val="left"/>
        <w:rPr>
          <w:sz w:val="24"/>
        </w:rPr>
      </w:pPr>
      <w:r>
        <w:rPr>
          <w:rFonts w:ascii="Arial" w:hAnsi="Arial" w:cs="Arial" w:eastAsia="Arial"/>
          <w:sz w:val="24"/>
        </w:rPr>
        <w:t>Currently enrolled in another clinical study or used any investigational drug or device within 30 days or 5 half-lives, whichever is longer, preceding informed consent, except the investigational study for the evaluation of commercial IPS</w:t>
      </w:r>
      <w:r>
        <w:rPr>
          <w:rFonts w:ascii="Arial" w:hAnsi="Arial" w:cs="Arial" w:eastAsia="Arial"/>
          <w:spacing w:val="-11"/>
          <w:sz w:val="24"/>
        </w:rPr>
        <w:t xml:space="preserve">  </w:t>
      </w:r>
      <w:r>
        <w:rPr>
          <w:rFonts w:ascii="Arial" w:hAnsi="Arial" w:cs="Arial" w:eastAsia="Arial"/>
          <w:sz w:val="24"/>
        </w:rPr>
        <w:t xml:space="preserve">  machine.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6"/>
        </w:numPr>
        <w:tabs>
          <w:tab w:pos="580" w:val="left" w:leader="none"/>
        </w:tabs>
        <w:spacing w:line="240" w:lineRule="auto" w:before="60" w:after="0"/>
        <w:ind w:left="580" w:right="357" w:hanging="360"/>
        <w:jc w:val="left"/>
        <w:rPr>
          <w:sz w:val="24"/>
        </w:rPr>
      </w:pPr>
      <w:r>
        <w:rPr>
          <w:rFonts w:ascii="Arial" w:hAnsi="Arial" w:cs="Arial" w:eastAsia="Arial"/>
          <w:sz w:val="24"/>
        </w:rPr>
        <w:t>Frequent spontaneous background burst or current evidence of proconvulsive activity</w:t>
      </w:r>
      <w:r>
        <w:rPr>
          <w:rFonts w:ascii="Arial" w:hAnsi="Arial" w:cs="Arial" w:eastAsia="Arial"/>
          <w:spacing w:val="-24"/>
          <w:sz w:val="24"/>
        </w:rPr>
        <w:t xml:space="preserve">  </w:t>
      </w:r>
      <w:r>
        <w:rPr>
          <w:rFonts w:ascii="Arial" w:hAnsi="Arial" w:cs="Arial" w:eastAsia="Arial"/>
          <w:sz w:val="24"/>
        </w:rPr>
        <w:t xml:space="preserve">  on EEG (eg, increase in spike-wave activity) at</w:t>
      </w:r>
      <w:r>
        <w:rPr>
          <w:rFonts w:ascii="Arial" w:hAnsi="Arial" w:cs="Arial" w:eastAsia="Arial"/>
          <w:spacing w:val="-8"/>
          <w:sz w:val="24"/>
        </w:rPr>
        <w:t xml:space="preserve">  </w:t>
      </w:r>
      <w:r>
        <w:rPr>
          <w:rFonts w:ascii="Arial" w:hAnsi="Arial" w:cs="Arial" w:eastAsia="Arial"/>
          <w:sz w:val="24"/>
        </w:rPr>
        <w:t xml:space="preserve">  Screening.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34"/>
        </w:rPr>
      </w:pPr>
    </w:p>
    <w:p>
      <w:r>
        <w:cr/>
      </w:r>
    </w:p>
    <w:p>
      <w:pPr>
        <w:pStyle w:val="Heading3"/>
        <w:keepNext w:val="on"/>
        <w:ind w:left="3"/>
      </w:pPr>
      <w:r>
        <w:rPr>
          <w:rFonts w:ascii="Arial" w:hAnsi="Arial" w:cs="Arial" w:eastAsia="Arial"/>
          <w:b w:val="true"/>
          <w:sz w:val="22"/>
        </w:rPr>
        <w:t xml:space="preserve">    9.3.3 </w:t>
        <w:t>REMOVAL OF PATIENTS FROM THERAPY OR ASSESSMENT</w:t>
      </w:r>
      <w:bookmarkStart w:name="_REMOVAL_OF_PATIENTS_FROM_THERAPY_OR_ASSESSMENT" w:id="1271"/>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49"/>
      </w:pPr>
      <w:r>
        <w:rPr>
          <w:rFonts w:ascii="Arial" w:hAnsi="Arial" w:cs="Arial" w:eastAsia="Arial"/>
        </w:rPr>
        <w:t>The investigator may withdraw the subject from the study at any time for safety or administrative reasons. The subject may stop study drug or withdraw from the study at any time for any reason.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19" w:val="left" w:leader="none"/>
          <w:tab w:pos="1420" w:val="left" w:leader="none"/>
        </w:tabs>
        <w:spacing w:line="240" w:lineRule="auto" w:before="0" w:after="0"/>
        <w:ind w:left="1420" w:right="0" w:hanging="1200"/>
        <w:jc w:val="left"/>
        <w:rPr>
          <w:rFonts w:ascii="Arial"/>
          <w:sz w:val="22"/>
        </w:rPr>
      </w:pPr>
      <w:bookmarkStart w:name="9.3.3.1 Study-Specific Withdrawal Criter" w:id="103"/>
      <w:bookmarkEnd w:id="103"/>
      <w:r>
        <w:rPr>
          <w:rFonts w:ascii="Arial" w:hAnsi="Arial" w:cs="Arial" w:eastAsia="Arial"/>
        </w:rPr>
      </w:r>
      <w:bookmarkStart w:name="_bookmark35" w:id="104"/>
      <w:bookmarkEnd w:id="104"/>
      <w:r>
        <w:rPr>
          <w:rFonts w:ascii="Arial" w:hAnsi="Arial" w:cs="Arial" w:eastAsia="Arial"/>
        </w:rPr>
      </w:r>
      <w:bookmarkStart w:name="_bookmark35" w:id="105"/>
      <w:bookmarkEnd w:id="105"/>
      <w:r>
        <w:rPr>
          <w:rFonts w:ascii="Arial" w:hAnsi="Arial" w:cs="Arial" w:eastAsia="Arial"/>
          <w:sz w:val="22"/>
        </w:rPr>
        <w:t>Stud</w:t>
      </w:r>
      <w:r>
        <w:rPr>
          <w:rFonts w:ascii="Arial" w:hAnsi="Arial" w:cs="Arial" w:eastAsia="Arial"/>
          <w:sz w:val="22"/>
        </w:rPr>
        <w:t>y-Specific Withdrawal</w:t>
      </w:r>
      <w:r>
        <w:rPr>
          <w:rFonts w:ascii="Arial" w:hAnsi="Arial" w:cs="Arial" w:eastAsia="Arial"/>
          <w:spacing w:val="-6"/>
          <w:sz w:val="22"/>
        </w:rPr>
        <w:t xml:space="preserve">  </w:t>
      </w:r>
      <w:r>
        <w:rPr>
          <w:rFonts w:ascii="Arial" w:hAnsi="Arial" w:cs="Arial" w:eastAsia="Arial"/>
          <w:sz w:val="22"/>
        </w:rPr>
        <w:t xml:space="preserve">  Criteria</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20" w:right="288"/>
      </w:pPr>
      <w:r>
        <w:rPr>
          <w:rFonts w:ascii="Arial" w:hAnsi="Arial" w:cs="Arial" w:eastAsia="Arial"/>
        </w:rPr>
        <w:t>The investigator will determine continued subject participation in the IPS assessments. In individual situations, safety assessments will be completed as appropriate, determined by the investigator.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pPr>
      <w:r>
        <w:rPr>
          <w:rFonts w:ascii="Arial" w:hAnsi="Arial" w:cs="Arial" w:eastAsia="Arial"/>
        </w:rPr>
        <w:t>A subject may be withdrawn from the study if any of the following circumstances occur: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580" w:right="250" w:hanging="360"/>
      </w:pPr>
      <w:r>
        <w:rPr>
          <w:rFonts w:ascii="Arial" w:hAnsi="Arial" w:cs="Arial" w:eastAsia="Arial"/>
        </w:rPr>
        <w:t>1. If a subject experiences a generalized tonic-clonic seizure on any study day, and the subject has not had a generalized tonic-clonic seizure in the 6 months prior to enrollment, that subject will be discontinued from the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0"/>
        <w:ind w:left="220"/>
      </w:pPr>
      <w:r>
        <w:rPr>
          <w:rFonts w:ascii="Arial" w:hAnsi="Arial" w:cs="Arial" w:eastAsia="Arial"/>
        </w:rPr>
        <w:t>OR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7"/>
        </w:numPr>
        <w:tabs>
          <w:tab w:pos="580" w:val="left" w:leader="none"/>
        </w:tabs>
        <w:spacing w:line="240" w:lineRule="auto" w:before="0" w:after="0"/>
        <w:ind w:left="580" w:right="288" w:hanging="360"/>
        <w:jc w:val="left"/>
        <w:rPr>
          <w:sz w:val="24"/>
        </w:rPr>
      </w:pPr>
      <w:r>
        <w:rPr>
          <w:rFonts w:ascii="Arial" w:hAnsi="Arial" w:cs="Arial" w:eastAsia="Arial"/>
          <w:sz w:val="24"/>
        </w:rPr>
        <w:t>If a subject experiences a generalized tonic-clonic seizure during IPS, that subject will</w:t>
      </w:r>
      <w:r>
        <w:rPr>
          <w:rFonts w:ascii="Arial" w:hAnsi="Arial" w:cs="Arial" w:eastAsia="Arial"/>
          <w:spacing w:val="-24"/>
          <w:sz w:val="24"/>
        </w:rPr>
        <w:t xml:space="preserve">  </w:t>
      </w:r>
      <w:r>
        <w:rPr>
          <w:rFonts w:ascii="Arial" w:hAnsi="Arial" w:cs="Arial" w:eastAsia="Arial"/>
          <w:sz w:val="24"/>
        </w:rPr>
        <w:t xml:space="preserve">  be discontinued from the</w:t>
      </w:r>
      <w:r>
        <w:rPr>
          <w:rFonts w:ascii="Arial" w:hAnsi="Arial" w:cs="Arial" w:eastAsia="Arial"/>
          <w:spacing w:val="-2"/>
          <w:sz w:val="24"/>
        </w:rPr>
        <w:t xml:space="preserve">  </w:t>
      </w:r>
      <w:r>
        <w:rPr>
          <w:rFonts w:ascii="Arial" w:hAnsi="Arial" w:cs="Arial" w:eastAsia="Arial"/>
          <w:sz w:val="24"/>
        </w:rPr>
        <w:t xml:space="preserv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7"/>
        </w:numPr>
        <w:tabs>
          <w:tab w:pos="580" w:val="left" w:leader="none"/>
        </w:tabs>
        <w:spacing w:line="240" w:lineRule="auto" w:before="60" w:after="0"/>
        <w:ind w:left="580" w:right="254" w:hanging="360"/>
        <w:jc w:val="left"/>
        <w:rPr>
          <w:sz w:val="24"/>
        </w:rPr>
      </w:pPr>
      <w:r>
        <w:rPr>
          <w:rFonts w:ascii="Arial" w:hAnsi="Arial" w:cs="Arial" w:eastAsia="Arial"/>
          <w:sz w:val="24"/>
        </w:rPr>
        <w:t>If, in the opinion of the investigator, a subject has evidence of proconvulsive activity on the EEG (eg, increase in spike-wave activity), following administration of the study</w:t>
      </w:r>
      <w:r>
        <w:rPr>
          <w:rFonts w:ascii="Arial" w:hAnsi="Arial" w:cs="Arial" w:eastAsia="Arial"/>
          <w:spacing w:val="-28"/>
          <w:sz w:val="24"/>
        </w:rPr>
        <w:t xml:space="preserve">  </w:t>
      </w:r>
      <w:r>
        <w:rPr>
          <w:rFonts w:ascii="Arial" w:hAnsi="Arial" w:cs="Arial" w:eastAsia="Arial"/>
          <w:sz w:val="24"/>
        </w:rPr>
        <w:t xml:space="preserve">  drug.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after="0" w:line="240" w:lineRule="auto"/>
        <w:jc w:val="left"/>
        <w:rPr>
          <w:sz w:val="24"/>
        </w:rPr>
        <w:sectPr>
          <w:pgSz w:w="12240" w:h="15840"/>
          <w:pgMar w:header="722" w:footer="1160" w:top="1340" w:bottom="1360" w:left="1580" w:right="1220"/>
        </w:sect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7"/>
        </w:numPr>
        <w:tabs>
          <w:tab w:pos="580" w:val="left" w:leader="none"/>
        </w:tabs>
        <w:spacing w:line="240" w:lineRule="auto" w:before="80" w:after="0"/>
        <w:ind w:left="580" w:right="1203" w:hanging="360"/>
        <w:jc w:val="left"/>
        <w:rPr>
          <w:sz w:val="24"/>
        </w:rPr>
      </w:pPr>
      <w:r>
        <w:rPr>
          <w:rFonts w:ascii="Arial" w:hAnsi="Arial" w:cs="Arial" w:eastAsia="Arial"/>
          <w:sz w:val="24"/>
        </w:rPr>
        <w:t>If a subject has widening of the photosensitivity range by more than 3 points on 2 consecutive occasions after dosing as compared to Screening, the IPS will</w:t>
      </w:r>
      <w:r>
        <w:rPr>
          <w:rFonts w:ascii="Arial" w:hAnsi="Arial" w:cs="Arial" w:eastAsia="Arial"/>
          <w:spacing w:val="-13"/>
          <w:sz w:val="24"/>
        </w:rPr>
        <w:t xml:space="preserve">  </w:t>
      </w:r>
      <w:r>
        <w:rPr>
          <w:rFonts w:ascii="Arial" w:hAnsi="Arial" w:cs="Arial" w:eastAsia="Arial"/>
          <w:sz w:val="24"/>
        </w:rPr>
        <w:t xml:space="preserve">  be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580" w:right="615"/>
      </w:pPr>
      <w:r>
        <w:rPr>
          <w:rFonts w:ascii="Arial" w:hAnsi="Arial" w:cs="Arial" w:eastAsia="Arial"/>
        </w:rPr>
        <w:t>terminated and the subject will not be permitted to participate in further testing on the same day.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0"/>
        <w:ind w:left="220" w:right="237"/>
      </w:pPr>
      <w:r>
        <w:rPr>
          <w:rFonts w:ascii="Arial" w:hAnsi="Arial" w:cs="Arial" w:eastAsia="Arial"/>
        </w:rPr>
        <w:t>Generalized spike and wave discharges greater than 5 seconds defined by absence seizures or isolated myoclonic jerks do not require stoppage of study drug or subject withdrawal.</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w:r>
        <w:cr/>
      </w:r>
    </w:p>
    <w:p>
      <w:pPr>
        <w:pStyle w:val="Heading3"/>
        <w:keepNext w:val="on"/>
        <w:ind w:left="2"/>
      </w:pPr>
      <w:r>
        <w:rPr>
          <w:rFonts w:ascii="Arial" w:hAnsi="Arial" w:cs="Arial" w:eastAsia="Arial"/>
          <w:b w:val="true"/>
          <w:sz w:val="24"/>
        </w:rPr>
        <w:t xml:space="preserve">  9.4 </w:t>
        <w:t>TREATMENTS</w:t>
      </w:r>
      <w:bookmarkStart w:name="_TREATMENTS" w:id="1272"/>
    </w:p>
    <w:p>
      <w:pPr>
        <w:pStyle w:val="Heading3"/>
        <w:keepNext w:val="on"/>
        <w:ind w:left="3"/>
      </w:pPr>
      <w:r>
        <w:rPr>
          <w:rFonts w:ascii="Arial" w:hAnsi="Arial" w:cs="Arial" w:eastAsia="Arial"/>
          <w:b w:val="true"/>
          <w:sz w:val="22"/>
        </w:rPr>
        <w:t xml:space="preserve">    9.4.1 </w:t>
        <w:t>TREATMENTS ADMINISTERED</w:t>
      </w:r>
      <w:bookmarkStart w:name="_TREATMENTS_ADMINISTERED" w:id="1273"/>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pPr>
      <w:r>
        <w:rPr>
          <w:rFonts w:ascii="Arial" w:hAnsi="Arial" w:cs="Arial" w:eastAsia="Arial"/>
        </w:rPr>
        <w:t>E2730 is the test drug and will be supplied as active pharmaceutical ingredient in capsule at dose strengths of 40 mg and 80 mg. Study site personnel will administer capsules containing E2730 or matched placebo (</w:t>
      </w:r>
      <w:hyperlink w:history="true" w:anchor="_bookmark38">
        <w:r>
          <w:rPr>
            <w:rFonts w:ascii="Arial" w:hAnsi="Arial" w:cs="Arial" w:eastAsia="Arial"/>
            <w:color w:val="0000FF"/>
          </w:rPr>
          <w:t>Table 2</w:t>
        </w:r>
      </w:hyperlink>
      <w:r>
        <w:rPr>
          <w:rFonts w:ascii="Arial" w:hAnsi="Arial" w:cs="Arial" w:eastAsia="Arial"/>
        </w:rPr>
        <w:t>) as single oral doses according to the study design.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583"/>
      </w:pPr>
      <w:r>
        <w:rPr>
          <w:rFonts w:ascii="Arial" w:hAnsi="Arial" w:cs="Arial" w:eastAsia="Arial"/>
        </w:rPr>
        <w:t>Filled capsules will be packed, labelled, and shipped by the contract manufacturer to each site.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229"/>
      </w:pPr>
      <w:r>
        <w:rPr>
          <w:rFonts w:ascii="Arial" w:hAnsi="Arial" w:cs="Arial" w:eastAsia="Arial"/>
        </w:rPr>
        <w:t>Each subject will receive a single oral dose in a cross-over sequence according to his/her randomization code (</w:t>
      </w:r>
      <w:hyperlink w:history="true" w:anchor="_bookmark39">
        <w:r>
          <w:rPr>
            <w:rFonts w:ascii="Arial" w:hAnsi="Arial" w:cs="Arial" w:eastAsia="Arial"/>
            <w:color w:val="0000FF"/>
          </w:rPr>
          <w:t>Table 3</w:t>
        </w:r>
      </w:hyperlink>
      <w:r>
        <w:rPr>
          <w:rFonts w:ascii="Arial" w:hAnsi="Arial" w:cs="Arial" w:eastAsia="Arial"/>
        </w:rPr>
        <w:t>). The following treatments will be administered as a single dose to subjects.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8"/>
        </w:numPr>
        <w:tabs>
          <w:tab w:pos="939" w:val="left" w:leader="none"/>
          <w:tab w:pos="940" w:val="left" w:leader="none"/>
        </w:tabs>
        <w:spacing w:line="240" w:lineRule="auto" w:before="0" w:after="0"/>
        <w:ind w:left="940" w:right="0" w:hanging="360"/>
        <w:jc w:val="left"/>
        <w:rPr>
          <w:sz w:val="24"/>
        </w:rPr>
      </w:pPr>
      <w:r>
        <w:rPr>
          <w:rFonts w:ascii="Arial" w:hAnsi="Arial" w:cs="Arial" w:eastAsia="Arial"/>
          <w:sz w:val="24"/>
        </w:rPr>
        <w:t>E2730 40 mg: 1 E2730 40 mg capsule and 1 E2730-matched placebo</w:t>
      </w:r>
      <w:r>
        <w:rPr>
          <w:rFonts w:ascii="Arial" w:hAnsi="Arial" w:cs="Arial" w:eastAsia="Arial"/>
          <w:spacing w:val="-11"/>
          <w:sz w:val="24"/>
        </w:rPr>
        <w:t xml:space="preserve">  </w:t>
      </w:r>
      <w:r>
        <w:rPr>
          <w:rFonts w:ascii="Arial" w:hAnsi="Arial" w:cs="Arial" w:eastAsia="Arial"/>
          <w:sz w:val="24"/>
        </w:rPr>
        <w:t xml:space="preserve">  capsule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8"/>
        </w:numPr>
        <w:tabs>
          <w:tab w:pos="939" w:val="left" w:leader="none"/>
          <w:tab w:pos="940" w:val="left" w:leader="none"/>
        </w:tabs>
        <w:spacing w:line="240" w:lineRule="auto" w:before="60" w:after="0"/>
        <w:ind w:left="940" w:right="0" w:hanging="360"/>
        <w:jc w:val="left"/>
        <w:rPr>
          <w:sz w:val="24"/>
        </w:rPr>
      </w:pPr>
      <w:r>
        <w:rPr>
          <w:rFonts w:ascii="Arial" w:hAnsi="Arial" w:cs="Arial" w:eastAsia="Arial"/>
          <w:sz w:val="24"/>
        </w:rPr>
        <w:t>E2730 120 mg: 1 E2730 80 mg capsule and 1 E2730 40 mg</w:t>
      </w:r>
      <w:r>
        <w:rPr>
          <w:rFonts w:ascii="Arial" w:hAnsi="Arial" w:cs="Arial" w:eastAsia="Arial"/>
          <w:spacing w:val="-9"/>
          <w:sz w:val="24"/>
        </w:rPr>
        <w:t xml:space="preserve">  </w:t>
      </w:r>
      <w:r>
        <w:rPr>
          <w:rFonts w:ascii="Arial" w:hAnsi="Arial" w:cs="Arial" w:eastAsia="Arial"/>
          <w:sz w:val="24"/>
        </w:rPr>
        <w:t xml:space="preserve">  capsule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18"/>
        </w:numPr>
        <w:tabs>
          <w:tab w:pos="939" w:val="left" w:leader="none"/>
          <w:tab w:pos="940" w:val="left" w:leader="none"/>
        </w:tabs>
        <w:spacing w:line="240" w:lineRule="auto" w:before="60" w:after="0"/>
        <w:ind w:left="940" w:right="0" w:hanging="360"/>
        <w:jc w:val="left"/>
        <w:rPr>
          <w:sz w:val="24"/>
        </w:rPr>
      </w:pPr>
      <w:r>
        <w:rPr>
          <w:rFonts w:ascii="Arial" w:hAnsi="Arial" w:cs="Arial" w:eastAsia="Arial"/>
          <w:sz w:val="24"/>
        </w:rPr>
        <w:t>Placebo: 2 E2730-matched placebo</w:t>
      </w:r>
      <w:r>
        <w:rPr>
          <w:rFonts w:ascii="Arial" w:hAnsi="Arial" w:cs="Arial" w:eastAsia="Arial"/>
          <w:spacing w:val="-3"/>
          <w:sz w:val="24"/>
        </w:rPr>
        <w:t xml:space="preserve">  </w:t>
      </w:r>
      <w:r>
        <w:rPr>
          <w:rFonts w:ascii="Arial" w:hAnsi="Arial" w:cs="Arial" w:eastAsia="Arial"/>
          <w:sz w:val="24"/>
        </w:rPr>
        <w:t xml:space="preserve">  capsules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1"/>
        <w:rPr>
          <w:sz w:val="29"/>
        </w:rPr>
      </w:pPr>
    </w:p>
    <w:tbl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tblPr>
        <w:tblW w:w="0" w:type="auto"/>
        <w:jc w:val="left"/>
        <w:tblInd w:w="22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86"/>
        <w:gridCol w:w="2781"/>
      </w:tblGrid>
      <w:tr>
        <w:trPr>
          <w:trHeight w:val="458" w:hRule="atLeast"/>
        </w:trPr>
        <w:tc>
          <w:tcPr>
            <w:tcW w:w="4967" w:type="dxa"/>
            <w:gridSpan w:val="2"/>
          </w:tcPr>
          <w:p>
            <w:pPr>
              <w:pStyle w:val="TableParagraph"/>
              <w:tabs>
                <w:tab w:pos="1547" w:val="left" w:leader="none"/>
              </w:tabs>
              <w:spacing w:before="58"/>
              <w:ind w:left="107"/>
              <w:rPr>
                <w:rFonts w:ascii="Arial"/>
                <w:b/>
                <w:sz w:val="24"/>
              </w:rPr>
            </w:pPr>
            <w:bookmarkStart w:name="_bookmark38" w:id="112"/>
            <w:bookmarkEnd w:id="112"/>
            <w:r>
              <w:rPr>
                <w:rFonts w:ascii="Arial" w:hAnsi="Arial" w:cs="Arial" w:eastAsia="Arial"/>
              </w:rPr>
            </w:r>
            <w:r>
              <w:rPr>
                <w:rFonts w:ascii="Arial" w:hAnsi="Arial" w:cs="Arial" w:eastAsia="Arial"/>
                <w:b/>
                <w:sz w:val="24"/>
              </w:rPr>
              <w:t>Table</w:t>
            </w:r>
            <w:r>
              <w:rPr>
                <w:rFonts w:ascii="Arial" w:hAnsi="Arial" w:cs="Arial" w:eastAsia="Arial"/>
                <w:b/>
                <w:spacing w:val="1"/>
                <w:sz w:val="24"/>
              </w:rPr>
              <w:t> </w:t>
            </w:r>
            <w:r>
              <w:rPr>
                <w:rFonts w:ascii="Arial" w:hAnsi="Arial" w:cs="Arial" w:eastAsia="Arial"/>
                <w:b/>
                <w:sz w:val="24"/>
              </w:rPr>
              <w:t>2</w:t>
              <w:tab/>
              <w:t>Treatments</w:t>
            </w:r>
            <w:r>
              <w:rPr>
                <w:rFonts w:ascii="Arial" w:hAnsi="Arial" w:cs="Arial" w:eastAsia="Arial"/>
                <w:b/>
                <w:spacing w:val="-1"/>
                <w:sz w:val="24"/>
              </w:rPr>
              <w:t> </w:t>
            </w:r>
            <w:r>
              <w:rPr>
                <w:rFonts w:ascii="Arial" w:hAnsi="Arial" w:cs="Arial" w:eastAsia="Arial"/>
                <w:b/>
                <w:sz w:val="24"/>
              </w:rPr>
              <w:t>Administered</w:t>
            </w:r>
          </w:p>
        </w:tc>
      </w:tr>
      <w:tr>
        <w:trPr>
          <w:trHeight w:val="491" w:hRule="atLeast"/>
        </w:trPr>
        <w:tc>
          <w:tcPr>
            <w:tcW w:w="2186" w:type="dxa"/>
          </w:tcPr>
          <w:p>
            <w:pPr>
              <w:pStyle w:val="TableParagraph"/>
              <w:spacing w:line="251" w:lineRule="exact"/>
              <w:ind w:left="572" w:right="561"/>
              <w:jc w:val="center"/>
              <w:rPr>
                <w:b/>
                <w:sz w:val="22"/>
              </w:rPr>
            </w:pPr>
            <w:r>
              <w:rPr>
                <w:rFonts w:ascii="Arial" w:hAnsi="Arial" w:cs="Arial" w:eastAsia="Arial"/>
                <w:b/>
                <w:sz w:val="22"/>
              </w:rPr>
              <w:t>Treatment</w:t>
            </w:r>
          </w:p>
        </w:tc>
        <w:tc>
          <w:tcPr>
            <w:tcW w:w="2781" w:type="dxa"/>
          </w:tcPr>
          <w:p>
            <w:pPr>
              <w:pStyle w:val="TableParagraph"/>
              <w:spacing w:line="251" w:lineRule="exact"/>
              <w:ind w:left="154" w:right="144"/>
              <w:jc w:val="center"/>
              <w:rPr>
                <w:b/>
                <w:sz w:val="22"/>
              </w:rPr>
            </w:pPr>
            <w:r>
              <w:rPr>
                <w:rFonts w:ascii="Arial" w:hAnsi="Arial" w:cs="Arial" w:eastAsia="Arial"/>
                <w:b/>
                <w:sz w:val="22"/>
              </w:rPr>
              <w:t>Study Drug Administered</w:t>
            </w:r>
          </w:p>
        </w:tc>
      </w:tr>
      <w:tr>
        <w:trPr>
          <w:trHeight w:val="493" w:hRule="atLeast"/>
        </w:trPr>
        <w:tc>
          <w:tcPr>
            <w:tcW w:w="2186" w:type="dxa"/>
          </w:tcPr>
          <w:p>
            <w:pPr>
              <w:pStyle w:val="TableParagraph"/>
              <w:spacing w:line="247" w:lineRule="exact"/>
              <w:ind w:left="13"/>
              <w:jc w:val="center"/>
              <w:rPr>
                <w:sz w:val="22"/>
              </w:rPr>
            </w:pPr>
            <w:r>
              <w:rPr>
                <w:rFonts w:ascii="Arial" w:hAnsi="Arial" w:cs="Arial" w:eastAsia="Arial"/>
                <w:w w:val="100"/>
                <w:sz w:val="22"/>
              </w:rPr>
              <w:t>A</w:t>
            </w:r>
          </w:p>
        </w:tc>
        <w:tc>
          <w:tcPr>
            <w:tcW w:w="2781" w:type="dxa"/>
          </w:tcPr>
          <w:p>
            <w:pPr>
              <w:pStyle w:val="TableParagraph"/>
              <w:spacing w:line="247" w:lineRule="exact"/>
              <w:ind w:left="154" w:right="144"/>
              <w:jc w:val="center"/>
              <w:rPr>
                <w:sz w:val="22"/>
              </w:rPr>
            </w:pPr>
            <w:r>
              <w:rPr>
                <w:rFonts w:ascii="Arial" w:hAnsi="Arial" w:cs="Arial" w:eastAsia="Arial"/>
                <w:sz w:val="22"/>
              </w:rPr>
              <w:t>Placebo</w:t>
            </w:r>
          </w:p>
        </w:tc>
      </w:tr>
      <w:tr>
        <w:trPr>
          <w:trHeight w:val="491" w:hRule="atLeast"/>
        </w:trPr>
        <w:tc>
          <w:tcPr>
            <w:tcW w:w="2186" w:type="dxa"/>
          </w:tcPr>
          <w:p>
            <w:pPr>
              <w:pStyle w:val="TableParagraph"/>
              <w:spacing w:line="247" w:lineRule="exact"/>
              <w:ind w:left="10"/>
              <w:jc w:val="center"/>
              <w:rPr>
                <w:sz w:val="22"/>
              </w:rPr>
            </w:pPr>
            <w:r>
              <w:rPr>
                <w:rFonts w:ascii="Arial" w:hAnsi="Arial" w:cs="Arial" w:eastAsia="Arial"/>
                <w:w w:val="100"/>
                <w:sz w:val="22"/>
              </w:rPr>
              <w:t>B</w:t>
            </w:r>
          </w:p>
        </w:tc>
        <w:tc>
          <w:tcPr>
            <w:tcW w:w="2781" w:type="dxa"/>
          </w:tcPr>
          <w:p>
            <w:pPr>
              <w:pStyle w:val="TableParagraph"/>
              <w:spacing w:line="247" w:lineRule="exact"/>
              <w:ind w:left="152" w:right="144"/>
              <w:jc w:val="center"/>
              <w:rPr>
                <w:sz w:val="22"/>
              </w:rPr>
            </w:pPr>
            <w:r>
              <w:rPr>
                <w:rFonts w:ascii="Arial" w:hAnsi="Arial" w:cs="Arial" w:eastAsia="Arial"/>
                <w:sz w:val="22"/>
              </w:rPr>
              <w:t>E2730 40 mg</w:t>
            </w:r>
          </w:p>
        </w:tc>
      </w:tr>
      <w:tr>
        <w:trPr>
          <w:trHeight w:val="493" w:hRule="atLeast"/>
        </w:trPr>
        <w:tc>
          <w:tcPr>
            <w:tcW w:w="2186" w:type="dxa"/>
          </w:tcPr>
          <w:p>
            <w:pPr>
              <w:pStyle w:val="TableParagraph"/>
              <w:spacing w:line="247" w:lineRule="exact"/>
              <w:ind w:left="10"/>
              <w:jc w:val="center"/>
              <w:rPr>
                <w:sz w:val="22"/>
              </w:rPr>
            </w:pPr>
            <w:r>
              <w:rPr>
                <w:rFonts w:ascii="Arial" w:hAnsi="Arial" w:cs="Arial" w:eastAsia="Arial"/>
                <w:w w:val="100"/>
                <w:sz w:val="22"/>
              </w:rPr>
              <w:t>C</w:t>
            </w:r>
          </w:p>
        </w:tc>
        <w:tc>
          <w:tcPr>
            <w:tcW w:w="2781" w:type="dxa"/>
          </w:tcPr>
          <w:p>
            <w:pPr>
              <w:pStyle w:val="TableParagraph"/>
              <w:spacing w:line="247" w:lineRule="exact"/>
              <w:ind w:left="152" w:right="144"/>
              <w:jc w:val="center"/>
              <w:rPr>
                <w:sz w:val="22"/>
              </w:rPr>
            </w:pPr>
            <w:r>
              <w:rPr>
                <w:rFonts w:ascii="Arial" w:hAnsi="Arial" w:cs="Arial" w:eastAsia="Arial"/>
                <w:sz w:val="22"/>
              </w:rPr>
              <w:t>E2730 120 mg</w:t>
            </w:r>
          </w:p>
        </w:tc>
      </w:tr>
    </w:tbl>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rPr>
          <w:sz w:val="34"/>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tabs>
          <w:tab w:pos="1659" w:val="left" w:leader="none"/>
        </w:tabs>
        <w:rPr>
          <w:rFonts w:ascii="Arial"/>
        </w:rPr>
      </w:pPr>
      <w:bookmarkStart w:name="_bookmark39" w:id="113"/>
      <w:bookmarkEnd w:id="113"/>
      <w:r>
        <w:rPr>
          <w:rFonts w:ascii="Arial" w:hAnsi="Arial" w:cs="Arial" w:eastAsia="Arial"/>
          <w:b w:val="0"/>
        </w:rPr>
      </w:r>
      <w:r>
        <w:rPr>
          <w:rFonts w:ascii="Arial" w:hAnsi="Arial" w:cs="Arial" w:eastAsia="Arial"/>
        </w:rPr>
        <w:t>Table</w:t>
      </w:r>
      <w:r>
        <w:rPr>
          <w:rFonts w:ascii="Arial" w:hAnsi="Arial" w:cs="Arial" w:eastAsia="Arial"/>
          <w:spacing w:val="1"/>
        </w:rPr>
        <w:t xml:space="preserve">  </w:t>
      </w:r>
      <w:r>
        <w:rPr>
          <w:rFonts w:ascii="Arial" w:hAnsi="Arial" w:cs="Arial" w:eastAsia="Arial"/>
        </w:rPr>
        <w:t xml:space="preserve">  3</w:t>
        <w:tab/>
        <w:t>Treatment Sequences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rFonts w:ascii="Arial"/>
          <w:b/>
          <w:sz w:val="10"/>
        </w:rPr>
      </w:pPr>
    </w:p>
    <w:tbl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tblPr>
        <w:tblW w:w="0" w:type="auto"/>
        <w:jc w:val="left"/>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50"/>
        <w:gridCol w:w="2565"/>
        <w:gridCol w:w="2342"/>
        <w:gridCol w:w="2212"/>
      </w:tblGrid>
      <w:tr>
        <w:trPr>
          <w:trHeight w:val="230" w:hRule="atLeast"/>
        </w:trPr>
        <w:tc>
          <w:tcPr>
            <w:tcW w:w="1850" w:type="dxa"/>
          </w:tcPr>
          <w:p>
            <w:pPr>
              <w:pStyle w:val="TableParagraph"/>
              <w:spacing w:line="210" w:lineRule="exact"/>
              <w:ind w:left="503" w:right="496"/>
              <w:jc w:val="center"/>
              <w:rPr>
                <w:b/>
                <w:sz w:val="20"/>
              </w:rPr>
            </w:pPr>
            <w:r>
              <w:rPr>
                <w:rFonts w:ascii="Arial" w:hAnsi="Arial" w:cs="Arial" w:eastAsia="Arial"/>
                <w:b/>
                <w:sz w:val="20"/>
              </w:rPr>
              <w:t>Sequence</w:t>
            </w:r>
          </w:p>
        </w:tc>
        <w:tc>
          <w:tcPr>
            <w:tcW w:w="2565" w:type="dxa"/>
          </w:tcPr>
          <w:p>
            <w:pPr>
              <w:pStyle w:val="TableParagraph"/>
              <w:spacing w:line="210" w:lineRule="exact"/>
              <w:ind w:left="421" w:right="416"/>
              <w:jc w:val="center"/>
              <w:rPr>
                <w:b/>
                <w:sz w:val="20"/>
              </w:rPr>
            </w:pPr>
            <w:r>
              <w:rPr>
                <w:rFonts w:ascii="Arial" w:hAnsi="Arial" w:cs="Arial" w:eastAsia="Arial"/>
                <w:b/>
                <w:sz w:val="20"/>
              </w:rPr>
              <w:t>Treatment Period 1</w:t>
            </w:r>
          </w:p>
        </w:tc>
        <w:tc>
          <w:tcPr>
            <w:tcW w:w="2342" w:type="dxa"/>
          </w:tcPr>
          <w:p>
            <w:pPr>
              <w:pStyle w:val="TableParagraph"/>
              <w:spacing w:line="210" w:lineRule="exact"/>
              <w:ind w:left="311" w:right="303"/>
              <w:jc w:val="center"/>
              <w:rPr>
                <w:b/>
                <w:sz w:val="20"/>
              </w:rPr>
            </w:pPr>
            <w:r>
              <w:rPr>
                <w:rFonts w:ascii="Arial" w:hAnsi="Arial" w:cs="Arial" w:eastAsia="Arial"/>
                <w:b/>
                <w:sz w:val="20"/>
              </w:rPr>
              <w:t>Treatment Period 2</w:t>
            </w:r>
          </w:p>
        </w:tc>
        <w:tc>
          <w:tcPr>
            <w:tcW w:w="2212" w:type="dxa"/>
          </w:tcPr>
          <w:p>
            <w:pPr>
              <w:pStyle w:val="TableParagraph"/>
              <w:spacing w:line="210" w:lineRule="exact"/>
              <w:ind w:left="247" w:right="237"/>
              <w:jc w:val="center"/>
              <w:rPr>
                <w:b/>
                <w:sz w:val="20"/>
              </w:rPr>
            </w:pPr>
            <w:r>
              <w:rPr>
                <w:rFonts w:ascii="Arial" w:hAnsi="Arial" w:cs="Arial" w:eastAsia="Arial"/>
                <w:b/>
                <w:sz w:val="20"/>
              </w:rPr>
              <w:t>Treatment Period 3</w:t>
            </w:r>
          </w:p>
        </w:tc>
      </w:tr>
      <w:tr>
        <w:trPr>
          <w:trHeight w:val="230" w:hRule="atLeast"/>
        </w:trPr>
        <w:tc>
          <w:tcPr>
            <w:tcW w:w="1850" w:type="dxa"/>
          </w:tcPr>
          <w:p>
            <w:pPr>
              <w:pStyle w:val="TableParagraph"/>
              <w:spacing w:line="210" w:lineRule="exact"/>
              <w:ind w:left="503" w:right="495"/>
              <w:jc w:val="center"/>
              <w:rPr>
                <w:sz w:val="20"/>
              </w:rPr>
            </w:pPr>
            <w:r>
              <w:rPr>
                <w:rFonts w:ascii="Arial" w:hAnsi="Arial" w:cs="Arial" w:eastAsia="Arial"/>
                <w:sz w:val="20"/>
              </w:rPr>
              <w:t>1: ABC</w:t>
            </w:r>
          </w:p>
        </w:tc>
        <w:tc>
          <w:tcPr>
            <w:tcW w:w="2565" w:type="dxa"/>
          </w:tcPr>
          <w:p>
            <w:pPr>
              <w:pStyle w:val="TableParagraph"/>
              <w:spacing w:line="210" w:lineRule="exact"/>
              <w:ind w:left="421" w:right="411"/>
              <w:jc w:val="center"/>
              <w:rPr>
                <w:sz w:val="20"/>
              </w:rPr>
            </w:pPr>
            <w:r>
              <w:rPr>
                <w:rFonts w:ascii="Arial" w:hAnsi="Arial" w:cs="Arial" w:eastAsia="Arial"/>
                <w:sz w:val="20"/>
              </w:rPr>
              <w:t>Placebo</w:t>
            </w:r>
          </w:p>
        </w:tc>
        <w:tc>
          <w:tcPr>
            <w:tcW w:w="2342" w:type="dxa"/>
          </w:tcPr>
          <w:p>
            <w:pPr>
              <w:pStyle w:val="TableParagraph"/>
              <w:spacing w:line="210" w:lineRule="exact"/>
              <w:ind w:left="311" w:right="303"/>
              <w:jc w:val="center"/>
              <w:rPr>
                <w:sz w:val="20"/>
              </w:rPr>
            </w:pPr>
            <w:r>
              <w:rPr>
                <w:rFonts w:ascii="Arial" w:hAnsi="Arial" w:cs="Arial" w:eastAsia="Arial"/>
                <w:sz w:val="20"/>
              </w:rPr>
              <w:t>E2730 40 mg</w:t>
            </w:r>
          </w:p>
        </w:tc>
        <w:tc>
          <w:tcPr>
            <w:tcW w:w="2212" w:type="dxa"/>
          </w:tcPr>
          <w:p>
            <w:pPr>
              <w:pStyle w:val="TableParagraph"/>
              <w:spacing w:line="210" w:lineRule="exact"/>
              <w:ind w:left="245" w:right="237"/>
              <w:jc w:val="center"/>
              <w:rPr>
                <w:sz w:val="20"/>
              </w:rPr>
            </w:pPr>
            <w:r>
              <w:rPr>
                <w:rFonts w:ascii="Arial" w:hAnsi="Arial" w:cs="Arial" w:eastAsia="Arial"/>
                <w:sz w:val="20"/>
              </w:rPr>
              <w:t>E2730 120 mg</w:t>
            </w:r>
          </w:p>
        </w:tc>
      </w:tr>
      <w:tr>
        <w:trPr>
          <w:trHeight w:val="230" w:hRule="atLeast"/>
        </w:trPr>
        <w:tc>
          <w:tcPr>
            <w:tcW w:w="1850" w:type="dxa"/>
          </w:tcPr>
          <w:p>
            <w:pPr>
              <w:pStyle w:val="TableParagraph"/>
              <w:spacing w:line="210" w:lineRule="exact"/>
              <w:ind w:left="503" w:right="493"/>
              <w:jc w:val="center"/>
              <w:rPr>
                <w:sz w:val="20"/>
              </w:rPr>
            </w:pPr>
            <w:r>
              <w:rPr>
                <w:rFonts w:ascii="Arial" w:hAnsi="Arial" w:cs="Arial" w:eastAsia="Arial"/>
                <w:sz w:val="20"/>
              </w:rPr>
              <w:t>2: BCA</w:t>
            </w:r>
          </w:p>
        </w:tc>
        <w:tc>
          <w:tcPr>
            <w:tcW w:w="2565" w:type="dxa"/>
          </w:tcPr>
          <w:p>
            <w:pPr>
              <w:pStyle w:val="TableParagraph"/>
              <w:spacing w:line="210" w:lineRule="exact"/>
              <w:ind w:left="421" w:right="416"/>
              <w:jc w:val="center"/>
              <w:rPr>
                <w:sz w:val="20"/>
              </w:rPr>
            </w:pPr>
            <w:r>
              <w:rPr>
                <w:rFonts w:ascii="Arial" w:hAnsi="Arial" w:cs="Arial" w:eastAsia="Arial"/>
                <w:sz w:val="20"/>
              </w:rPr>
              <w:t>E2730 40 mg</w:t>
            </w:r>
          </w:p>
        </w:tc>
        <w:tc>
          <w:tcPr>
            <w:tcW w:w="2342" w:type="dxa"/>
          </w:tcPr>
          <w:p>
            <w:pPr>
              <w:pStyle w:val="TableParagraph"/>
              <w:spacing w:line="210" w:lineRule="exact"/>
              <w:ind w:left="310" w:right="303"/>
              <w:jc w:val="center"/>
              <w:rPr>
                <w:sz w:val="20"/>
              </w:rPr>
            </w:pPr>
            <w:r>
              <w:rPr>
                <w:rFonts w:ascii="Arial" w:hAnsi="Arial" w:cs="Arial" w:eastAsia="Arial"/>
                <w:sz w:val="20"/>
              </w:rPr>
              <w:t>E2730 120 mg</w:t>
            </w:r>
          </w:p>
        </w:tc>
        <w:tc>
          <w:tcPr>
            <w:tcW w:w="2212" w:type="dxa"/>
          </w:tcPr>
          <w:p>
            <w:pPr>
              <w:pStyle w:val="TableParagraph"/>
              <w:spacing w:line="210" w:lineRule="exact"/>
              <w:ind w:left="247" w:right="233"/>
              <w:jc w:val="center"/>
              <w:rPr>
                <w:sz w:val="20"/>
              </w:rPr>
            </w:pPr>
            <w:r>
              <w:rPr>
                <w:rFonts w:ascii="Arial" w:hAnsi="Arial" w:cs="Arial" w:eastAsia="Arial"/>
                <w:sz w:val="20"/>
              </w:rPr>
              <w:t>Placebo</w:t>
            </w:r>
          </w:p>
        </w:tc>
      </w:tr>
      <w:tr>
        <w:trPr>
          <w:trHeight w:val="230" w:hRule="atLeast"/>
        </w:trPr>
        <w:tc>
          <w:tcPr>
            <w:tcW w:w="1850" w:type="dxa"/>
          </w:tcPr>
          <w:p>
            <w:pPr>
              <w:pStyle w:val="TableParagraph"/>
              <w:spacing w:line="210" w:lineRule="exact"/>
              <w:ind w:left="501" w:right="496"/>
              <w:jc w:val="center"/>
              <w:rPr>
                <w:sz w:val="20"/>
              </w:rPr>
            </w:pPr>
            <w:r>
              <w:rPr>
                <w:rFonts w:ascii="Arial" w:hAnsi="Arial" w:cs="Arial" w:eastAsia="Arial"/>
                <w:sz w:val="20"/>
              </w:rPr>
              <w:t>3: CAB</w:t>
            </w:r>
          </w:p>
        </w:tc>
        <w:tc>
          <w:tcPr>
            <w:tcW w:w="2565" w:type="dxa"/>
          </w:tcPr>
          <w:p>
            <w:pPr>
              <w:pStyle w:val="TableParagraph"/>
              <w:spacing w:line="210" w:lineRule="exact"/>
              <w:ind w:left="419" w:right="416"/>
              <w:jc w:val="center"/>
              <w:rPr>
                <w:sz w:val="20"/>
              </w:rPr>
            </w:pPr>
            <w:r>
              <w:rPr>
                <w:rFonts w:ascii="Arial" w:hAnsi="Arial" w:cs="Arial" w:eastAsia="Arial"/>
                <w:sz w:val="20"/>
              </w:rPr>
              <w:t>E2730 120 mg</w:t>
            </w:r>
          </w:p>
        </w:tc>
        <w:tc>
          <w:tcPr>
            <w:tcW w:w="2342" w:type="dxa"/>
          </w:tcPr>
          <w:p>
            <w:pPr>
              <w:pStyle w:val="TableParagraph"/>
              <w:spacing w:line="210" w:lineRule="exact"/>
              <w:ind w:left="311" w:right="298"/>
              <w:jc w:val="center"/>
              <w:rPr>
                <w:sz w:val="20"/>
              </w:rPr>
            </w:pPr>
            <w:r>
              <w:rPr>
                <w:rFonts w:ascii="Arial" w:hAnsi="Arial" w:cs="Arial" w:eastAsia="Arial"/>
                <w:sz w:val="20"/>
              </w:rPr>
              <w:t>Placebo</w:t>
            </w:r>
          </w:p>
        </w:tc>
        <w:tc>
          <w:tcPr>
            <w:tcW w:w="2212" w:type="dxa"/>
          </w:tcPr>
          <w:p>
            <w:pPr>
              <w:pStyle w:val="TableParagraph"/>
              <w:spacing w:line="210" w:lineRule="exact"/>
              <w:ind w:left="247" w:right="237"/>
              <w:jc w:val="center"/>
              <w:rPr>
                <w:sz w:val="20"/>
              </w:rPr>
            </w:pPr>
            <w:r>
              <w:rPr>
                <w:rFonts w:ascii="Arial" w:hAnsi="Arial" w:cs="Arial" w:eastAsia="Arial"/>
                <w:sz w:val="20"/>
              </w:rPr>
              <w:t>E2730 40 mg</w:t>
            </w:r>
          </w:p>
        </w:tc>
      </w:tr>
      <w:tr>
        <w:trPr>
          <w:trHeight w:val="230" w:hRule="atLeast"/>
        </w:trPr>
        <w:tc>
          <w:tcPr>
            <w:tcW w:w="1850" w:type="dxa"/>
          </w:tcPr>
          <w:p>
            <w:pPr>
              <w:pStyle w:val="TableParagraph"/>
              <w:spacing w:line="210" w:lineRule="exact"/>
              <w:ind w:left="501" w:right="496"/>
              <w:jc w:val="center"/>
              <w:rPr>
                <w:sz w:val="20"/>
              </w:rPr>
            </w:pPr>
            <w:r>
              <w:rPr>
                <w:rFonts w:ascii="Arial" w:hAnsi="Arial" w:cs="Arial" w:eastAsia="Arial"/>
                <w:sz w:val="20"/>
              </w:rPr>
              <w:t>4: ACB</w:t>
            </w:r>
          </w:p>
        </w:tc>
        <w:tc>
          <w:tcPr>
            <w:tcW w:w="2565" w:type="dxa"/>
          </w:tcPr>
          <w:p>
            <w:pPr>
              <w:pStyle w:val="TableParagraph"/>
              <w:spacing w:line="210" w:lineRule="exact"/>
              <w:ind w:left="421" w:right="411"/>
              <w:jc w:val="center"/>
              <w:rPr>
                <w:sz w:val="20"/>
              </w:rPr>
            </w:pPr>
            <w:r>
              <w:rPr>
                <w:rFonts w:ascii="Arial" w:hAnsi="Arial" w:cs="Arial" w:eastAsia="Arial"/>
                <w:sz w:val="20"/>
              </w:rPr>
              <w:t>Placebo</w:t>
            </w:r>
          </w:p>
        </w:tc>
        <w:tc>
          <w:tcPr>
            <w:tcW w:w="2342" w:type="dxa"/>
          </w:tcPr>
          <w:p>
            <w:pPr>
              <w:pStyle w:val="TableParagraph"/>
              <w:spacing w:line="210" w:lineRule="exact"/>
              <w:ind w:left="310" w:right="303"/>
              <w:jc w:val="center"/>
              <w:rPr>
                <w:sz w:val="20"/>
              </w:rPr>
            </w:pPr>
            <w:r>
              <w:rPr>
                <w:rFonts w:ascii="Arial" w:hAnsi="Arial" w:cs="Arial" w:eastAsia="Arial"/>
                <w:sz w:val="20"/>
              </w:rPr>
              <w:t>E2730 120 mg</w:t>
            </w:r>
          </w:p>
        </w:tc>
        <w:tc>
          <w:tcPr>
            <w:tcW w:w="2212" w:type="dxa"/>
          </w:tcPr>
          <w:p>
            <w:pPr>
              <w:pStyle w:val="TableParagraph"/>
              <w:spacing w:line="210" w:lineRule="exact"/>
              <w:ind w:left="247" w:right="237"/>
              <w:jc w:val="center"/>
              <w:rPr>
                <w:sz w:val="20"/>
              </w:rPr>
            </w:pPr>
            <w:r>
              <w:rPr>
                <w:rFonts w:ascii="Arial" w:hAnsi="Arial" w:cs="Arial" w:eastAsia="Arial"/>
                <w:sz w:val="20"/>
              </w:rPr>
              <w:t>E2730 40 mg</w:t>
            </w:r>
          </w:p>
        </w:tc>
      </w:tr>
      <w:tr>
        <w:trPr>
          <w:trHeight w:val="230" w:hRule="atLeast"/>
        </w:trPr>
        <w:tc>
          <w:tcPr>
            <w:tcW w:w="1850" w:type="dxa"/>
          </w:tcPr>
          <w:p>
            <w:pPr>
              <w:pStyle w:val="TableParagraph"/>
              <w:spacing w:line="210" w:lineRule="exact"/>
              <w:ind w:left="503" w:right="495"/>
              <w:jc w:val="center"/>
              <w:rPr>
                <w:sz w:val="20"/>
              </w:rPr>
            </w:pPr>
            <w:r>
              <w:rPr>
                <w:rFonts w:ascii="Arial" w:hAnsi="Arial" w:cs="Arial" w:eastAsia="Arial"/>
                <w:sz w:val="20"/>
              </w:rPr>
              <w:t>5: BAC</w:t>
            </w:r>
          </w:p>
        </w:tc>
        <w:tc>
          <w:tcPr>
            <w:tcW w:w="2565" w:type="dxa"/>
          </w:tcPr>
          <w:p>
            <w:pPr>
              <w:pStyle w:val="TableParagraph"/>
              <w:spacing w:line="210" w:lineRule="exact"/>
              <w:ind w:left="421" w:right="416"/>
              <w:jc w:val="center"/>
              <w:rPr>
                <w:sz w:val="20"/>
              </w:rPr>
            </w:pPr>
            <w:r>
              <w:rPr>
                <w:rFonts w:ascii="Arial" w:hAnsi="Arial" w:cs="Arial" w:eastAsia="Arial"/>
                <w:sz w:val="20"/>
              </w:rPr>
              <w:t>E2730 40 mg</w:t>
            </w:r>
          </w:p>
        </w:tc>
        <w:tc>
          <w:tcPr>
            <w:tcW w:w="2342" w:type="dxa"/>
          </w:tcPr>
          <w:p>
            <w:pPr>
              <w:pStyle w:val="TableParagraph"/>
              <w:spacing w:line="210" w:lineRule="exact"/>
              <w:ind w:left="311" w:right="298"/>
              <w:jc w:val="center"/>
              <w:rPr>
                <w:sz w:val="20"/>
              </w:rPr>
            </w:pPr>
            <w:r>
              <w:rPr>
                <w:rFonts w:ascii="Arial" w:hAnsi="Arial" w:cs="Arial" w:eastAsia="Arial"/>
                <w:sz w:val="20"/>
              </w:rPr>
              <w:t>Placebo</w:t>
            </w:r>
          </w:p>
        </w:tc>
        <w:tc>
          <w:tcPr>
            <w:tcW w:w="2212" w:type="dxa"/>
          </w:tcPr>
          <w:p>
            <w:pPr>
              <w:pStyle w:val="TableParagraph"/>
              <w:spacing w:line="210" w:lineRule="exact"/>
              <w:ind w:left="245" w:right="237"/>
              <w:jc w:val="center"/>
              <w:rPr>
                <w:sz w:val="20"/>
              </w:rPr>
            </w:pPr>
            <w:r>
              <w:rPr>
                <w:rFonts w:ascii="Arial" w:hAnsi="Arial" w:cs="Arial" w:eastAsia="Arial"/>
                <w:sz w:val="20"/>
              </w:rPr>
              <w:t>E2730 120 mg</w:t>
            </w:r>
          </w:p>
        </w:tc>
      </w:tr>
      <w:tr>
        <w:trPr>
          <w:trHeight w:val="237" w:hRule="atLeast"/>
        </w:trPr>
        <w:tc>
          <w:tcPr>
            <w:tcW w:w="1850" w:type="dxa"/>
          </w:tcPr>
          <w:p>
            <w:pPr>
              <w:pStyle w:val="TableParagraph"/>
              <w:spacing w:line="217" w:lineRule="exact"/>
              <w:ind w:left="503" w:right="493"/>
              <w:jc w:val="center"/>
              <w:rPr>
                <w:sz w:val="20"/>
              </w:rPr>
            </w:pPr>
            <w:r>
              <w:rPr>
                <w:rFonts w:ascii="Arial" w:hAnsi="Arial" w:cs="Arial" w:eastAsia="Arial"/>
                <w:sz w:val="20"/>
              </w:rPr>
              <w:t>6: CBA</w:t>
            </w:r>
          </w:p>
        </w:tc>
        <w:tc>
          <w:tcPr>
            <w:tcW w:w="2565" w:type="dxa"/>
          </w:tcPr>
          <w:p>
            <w:pPr>
              <w:pStyle w:val="TableParagraph"/>
              <w:spacing w:line="217" w:lineRule="exact"/>
              <w:ind w:left="419" w:right="416"/>
              <w:jc w:val="center"/>
              <w:rPr>
                <w:sz w:val="20"/>
              </w:rPr>
            </w:pPr>
            <w:r>
              <w:rPr>
                <w:rFonts w:ascii="Arial" w:hAnsi="Arial" w:cs="Arial" w:eastAsia="Arial"/>
                <w:sz w:val="20"/>
              </w:rPr>
              <w:t>E2730 120 mg</w:t>
            </w:r>
          </w:p>
        </w:tc>
        <w:tc>
          <w:tcPr>
            <w:tcW w:w="2342" w:type="dxa"/>
          </w:tcPr>
          <w:p>
            <w:pPr>
              <w:pStyle w:val="TableParagraph"/>
              <w:spacing w:line="217" w:lineRule="exact"/>
              <w:ind w:left="311" w:right="303"/>
              <w:jc w:val="center"/>
              <w:rPr>
                <w:sz w:val="20"/>
              </w:rPr>
            </w:pPr>
            <w:r>
              <w:rPr>
                <w:rFonts w:ascii="Arial" w:hAnsi="Arial" w:cs="Arial" w:eastAsia="Arial"/>
                <w:sz w:val="20"/>
              </w:rPr>
              <w:t>E2730 40 mg</w:t>
            </w:r>
          </w:p>
        </w:tc>
        <w:tc>
          <w:tcPr>
            <w:tcW w:w="2212" w:type="dxa"/>
          </w:tcPr>
          <w:p>
            <w:pPr>
              <w:pStyle w:val="TableParagraph"/>
              <w:spacing w:line="217" w:lineRule="exact"/>
              <w:ind w:left="247" w:right="233"/>
              <w:jc w:val="center"/>
              <w:rPr>
                <w:sz w:val="20"/>
              </w:rPr>
            </w:pPr>
            <w:r>
              <w:rPr>
                <w:rFonts w:ascii="Arial" w:hAnsi="Arial" w:cs="Arial" w:eastAsia="Arial"/>
                <w:sz w:val="20"/>
              </w:rPr>
              <w:t>Placebo</w:t>
            </w:r>
          </w:p>
        </w:tc>
      </w:tr>
    </w:tbl>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line="20" w:lineRule="exact"/>
        <w:ind w:left="104"/>
        <w:rPr>
          <w:rFonts w:ascii="Arial"/>
          <w:sz w:val="2"/>
        </w:rPr>
      </w:pPr>
      <w:r>
        <w:rPr>
          <w:rFonts w:ascii="Arial" w:hAnsi="Arial" w:cs="Arial" w:eastAsia="Arial"/>
          <w:sz w:val="2"/>
        </w:rPr>
        <w:pict>
          <v:group style="width:460pt;height:.75pt;mso-position-horizontal-relative:char;mso-position-vertical-relative:line" coordorigin="0,0" coordsize="9200,15">
            <v:line style="position:absolute" from="0,7" to="9199,7" stroked="true" strokeweight=".72pt" strokecolor="#000000">
              <v:stroke dashstyle="solid"/>
            </v:line>
          </v:group>
        </w:pict>
      </w:r>
      <w:r>
        <w:rPr>
          <w:rFonts w:ascii="Arial" w:hAnsi="Arial" w:cs="Arial" w:eastAsia="Arial"/>
          <w:sz w:val="2"/>
        </w:rPr>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before="0"/>
        <w:ind w:left="220" w:right="0" w:firstLine="0"/>
        <w:jc w:val="left"/>
        <w:rPr>
          <w:sz w:val="20"/>
        </w:rPr>
      </w:pPr>
      <w:r>
        <w:rPr>
          <w:rFonts w:ascii="Arial" w:hAnsi="Arial" w:cs="Arial" w:eastAsia="Arial"/>
          <w:sz w:val="20"/>
        </w:rPr>
        <w:t>A = Placebo; B = E2730 40 mg; C = E2730 120 mg</w:t>
      </w:r>
    </w:p>
    <w:p>
      <w:r>
        <w:cr/>
      </w:r>
    </w:p>
    <w:p>
      <w:pPr>
        <w:pStyle w:val="Heading3"/>
        <w:keepNext w:val="on"/>
        <w:ind w:left="3"/>
      </w:pPr>
      <w:r>
        <w:rPr>
          <w:rFonts w:ascii="Arial" w:hAnsi="Arial" w:cs="Arial" w:eastAsia="Arial"/>
          <w:b w:val="true"/>
          <w:sz w:val="22"/>
        </w:rPr>
        <w:t xml:space="preserve">    9.4.2 </w:t>
        <w:t>DESCRIPTION OF INVESTIGATIONAL PRODUCTS</w:t>
      </w:r>
      <w:bookmarkStart w:name="_DESCRIPTION_OF_INVESTIGATIONAL_PRODUCTS" w:id="1274"/>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20"/>
      </w:pPr>
      <w:r>
        <w:rPr>
          <w:rFonts w:ascii="Arial" w:hAnsi="Arial" w:cs="Arial" w:eastAsia="Arial"/>
        </w:rPr>
        <w:t>E2730 will be supplied in powder form as the free base.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19" w:val="left" w:leader="none"/>
          <w:tab w:pos="1420" w:val="left" w:leader="none"/>
        </w:tabs>
        <w:spacing w:line="240" w:lineRule="auto" w:before="0" w:after="0"/>
        <w:ind w:left="1420" w:right="0" w:hanging="1200"/>
        <w:jc w:val="left"/>
        <w:rPr>
          <w:rFonts w:ascii="Arial"/>
          <w:sz w:val="22"/>
        </w:rPr>
      </w:pPr>
      <w:bookmarkStart w:name="9.4.2.1 Chemical Name, Structural Formul" w:id="117"/>
      <w:bookmarkEnd w:id="117"/>
      <w:r>
        <w:rPr>
          <w:rFonts w:ascii="Arial" w:hAnsi="Arial" w:cs="Arial" w:eastAsia="Arial"/>
        </w:rPr>
      </w:r>
      <w:bookmarkStart w:name="_bookmark41" w:id="118"/>
      <w:bookmarkEnd w:id="118"/>
      <w:r>
        <w:rPr>
          <w:rFonts w:ascii="Arial" w:hAnsi="Arial" w:cs="Arial" w:eastAsia="Arial"/>
        </w:rPr>
      </w:r>
      <w:bookmarkStart w:name="_bookmark41" w:id="119"/>
      <w:bookmarkEnd w:id="119"/>
      <w:r>
        <w:rPr>
          <w:rFonts w:ascii="Arial" w:hAnsi="Arial" w:cs="Arial" w:eastAsia="Arial"/>
          <w:sz w:val="22"/>
        </w:rPr>
        <w:t>Chemica</w:t>
      </w:r>
      <w:r>
        <w:rPr>
          <w:rFonts w:ascii="Arial" w:hAnsi="Arial" w:cs="Arial" w:eastAsia="Arial"/>
          <w:sz w:val="22"/>
        </w:rPr>
        <w:t>l Name, Structural Formula of</w:t>
      </w:r>
      <w:r>
        <w:rPr>
          <w:rFonts w:ascii="Arial" w:hAnsi="Arial" w:cs="Arial" w:eastAsia="Arial"/>
          <w:spacing w:val="-5"/>
          <w:sz w:val="22"/>
        </w:rPr>
        <w:t xml:space="preserve">  </w:t>
      </w:r>
      <w:r>
        <w:rPr>
          <w:rFonts w:ascii="Arial" w:hAnsi="Arial" w:cs="Arial" w:eastAsia="Arial"/>
          <w:sz w:val="22"/>
        </w:rPr>
        <w:t xml:space="preserve">  E2730</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14"/>
        </w:numPr>
        <w:tabs>
          <w:tab w:pos="939" w:val="left" w:leader="none"/>
          <w:tab w:pos="940" w:val="left" w:leader="none"/>
        </w:tabs>
        <w:spacing w:line="240" w:lineRule="auto" w:before="0" w:after="0"/>
        <w:ind w:left="940" w:right="0" w:hanging="360"/>
        <w:jc w:val="left"/>
        <w:rPr>
          <w:sz w:val="24"/>
        </w:rPr>
      </w:pPr>
      <w:r>
        <w:rPr>
          <w:rFonts w:ascii="Arial" w:hAnsi="Arial" w:cs="Arial" w:eastAsia="Arial"/>
          <w:sz w:val="24"/>
        </w:rPr>
        <w:t>Test drug code:</w:t>
      </w:r>
      <w:r>
        <w:rPr>
          <w:rFonts w:ascii="Arial" w:hAnsi="Arial" w:cs="Arial" w:eastAsia="Arial"/>
          <w:spacing w:val="55"/>
          <w:sz w:val="24"/>
        </w:rPr>
        <w:t xml:space="preserve">  </w:t>
      </w:r>
      <w:r>
        <w:rPr>
          <w:rFonts w:ascii="Arial" w:hAnsi="Arial" w:cs="Arial" w:eastAsia="Arial"/>
          <w:sz w:val="24"/>
        </w:rPr>
        <w:t xml:space="preserve">  E2730</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14"/>
        </w:numPr>
        <w:tabs>
          <w:tab w:pos="939" w:val="left" w:leader="none"/>
          <w:tab w:pos="940" w:val="left" w:leader="none"/>
        </w:tabs>
        <w:spacing w:line="240" w:lineRule="auto" w:before="60" w:after="0"/>
        <w:ind w:left="940" w:right="0" w:hanging="360"/>
        <w:jc w:val="left"/>
        <w:rPr>
          <w:sz w:val="24"/>
        </w:rPr>
      </w:pPr>
      <w:r>
        <w:rPr>
          <w:rFonts w:ascii="Arial" w:hAnsi="Arial" w:cs="Arial" w:eastAsia="Arial"/>
          <w:sz w:val="24"/>
        </w:rPr>
        <w:t>Generic name: Not</w:t>
      </w:r>
      <w:r>
        <w:rPr>
          <w:rFonts w:ascii="Arial" w:hAnsi="Arial" w:cs="Arial" w:eastAsia="Arial"/>
          <w:spacing w:val="-2"/>
          <w:sz w:val="24"/>
        </w:rPr>
        <w:t xml:space="preserve">  </w:t>
      </w:r>
      <w:r>
        <w:rPr>
          <w:rFonts w:ascii="Arial" w:hAnsi="Arial" w:cs="Arial" w:eastAsia="Arial"/>
          <w:sz w:val="24"/>
        </w:rPr>
        <w:t xml:space="preserve">  Applicable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14"/>
        </w:numPr>
        <w:tabs>
          <w:tab w:pos="939" w:val="left" w:leader="none"/>
          <w:tab w:pos="940" w:val="left" w:leader="none"/>
        </w:tabs>
        <w:spacing w:line="240" w:lineRule="auto" w:before="60" w:after="0"/>
        <w:ind w:left="940" w:right="705" w:hanging="360"/>
        <w:jc w:val="left"/>
        <w:rPr>
          <w:sz w:val="24"/>
        </w:rPr>
      </w:pPr>
      <w:r>
        <w:rPr>
          <w:rFonts w:ascii="Arial" w:hAnsi="Arial" w:cs="Arial" w:eastAsia="Arial"/>
          <w:sz w:val="24"/>
        </w:rPr>
        <w:t>Chemical name: </w:t>
      </w:r>
      <w:r>
        <w:rPr>
          <w:rFonts w:ascii="Arial" w:hAnsi="Arial" w:cs="Arial" w:eastAsia="Arial"/>
          <w:i/>
          <w:sz w:val="24"/>
        </w:rPr>
        <w:t xml:space="preserve">  N</w:t>
      </w:r>
      <w:r>
        <w:rPr>
          <w:rFonts w:ascii="Arial" w:hAnsi="Arial" w:cs="Arial" w:eastAsia="Arial"/>
          <w:sz w:val="24"/>
        </w:rPr>
        <w:t>-[(1</w:t>
      </w:r>
      <w:r>
        <w:rPr>
          <w:rFonts w:ascii="Arial" w:hAnsi="Arial" w:cs="Arial" w:eastAsia="Arial"/>
          <w:i/>
          <w:sz w:val="24"/>
        </w:rPr>
        <w:t>S</w:t>
      </w:r>
      <w:r>
        <w:rPr>
          <w:rFonts w:ascii="Arial" w:hAnsi="Arial" w:cs="Arial" w:eastAsia="Arial"/>
          <w:sz w:val="24"/>
        </w:rPr>
        <w:t>)-2,2,5,7-Tetrafluoro-2,3-dihydro-1</w:t>
      </w:r>
      <w:r>
        <w:rPr>
          <w:rFonts w:ascii="Arial" w:hAnsi="Arial" w:cs="Arial" w:eastAsia="Arial"/>
          <w:i/>
          <w:sz w:val="24"/>
        </w:rPr>
        <w:t>H</w:t>
      </w:r>
      <w:r>
        <w:rPr>
          <w:rFonts w:ascii="Arial" w:hAnsi="Arial" w:cs="Arial" w:eastAsia="Arial"/>
          <w:sz w:val="24"/>
        </w:rPr>
        <w:t>-inden-1-yl]sulfuric diamide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14"/>
        </w:numPr>
        <w:tabs>
          <w:tab w:pos="939" w:val="left" w:leader="none"/>
          <w:tab w:pos="940" w:val="left" w:leader="none"/>
        </w:tabs>
        <w:spacing w:line="240" w:lineRule="auto" w:before="60" w:after="0"/>
        <w:ind w:left="940" w:right="0" w:hanging="360"/>
        <w:jc w:val="left"/>
        <w:rPr>
          <w:sz w:val="24"/>
        </w:rPr>
      </w:pPr>
      <w:r>
        <w:rPr>
          <w:rFonts w:ascii="Arial" w:hAnsi="Arial" w:cs="Arial" w:eastAsia="Arial"/>
          <w:sz w:val="24"/>
        </w:rPr>
        <w:t>Molecular formula:</w:t>
      </w:r>
      <w:r>
        <w:rPr>
          <w:rFonts w:ascii="Arial" w:hAnsi="Arial" w:cs="Arial" w:eastAsia="Arial"/>
          <w:spacing w:val="58"/>
          <w:sz w:val="24"/>
        </w:rPr>
        <w:t xml:space="preserve">  </w:t>
      </w:r>
      <w:r>
        <w:rPr>
          <w:rFonts w:ascii="Arial" w:hAnsi="Arial" w:cs="Arial" w:eastAsia="Arial"/>
          <w:sz w:val="24"/>
        </w:rPr>
        <w:t xml:space="preserve">  C</w:t>
      </w:r>
      <w:r>
        <w:rPr>
          <w:rFonts w:ascii="Arial" w:hAnsi="Arial" w:cs="Arial" w:eastAsia="Arial"/>
          <w:sz w:val="24"/>
          <w:vertAlign w:val="subscript"/>
        </w:rPr>
        <w:t>9</w:t>
      </w:r>
      <w:r>
        <w:rPr>
          <w:rFonts w:ascii="Arial" w:hAnsi="Arial" w:cs="Arial" w:eastAsia="Arial"/>
          <w:sz w:val="24"/>
          <w:vertAlign w:val="baseline"/>
        </w:rPr>
        <w:t>H</w:t>
      </w:r>
      <w:r>
        <w:rPr>
          <w:rFonts w:ascii="Arial" w:hAnsi="Arial" w:cs="Arial" w:eastAsia="Arial"/>
          <w:sz w:val="24"/>
          <w:vertAlign w:val="subscript"/>
        </w:rPr>
        <w:t>8</w:t>
      </w:r>
      <w:r>
        <w:rPr>
          <w:rFonts w:ascii="Arial" w:hAnsi="Arial" w:cs="Arial" w:eastAsia="Arial"/>
          <w:sz w:val="24"/>
          <w:vertAlign w:val="baseline"/>
        </w:rPr>
        <w:t>F</w:t>
      </w:r>
      <w:r>
        <w:rPr>
          <w:rFonts w:ascii="Arial" w:hAnsi="Arial" w:cs="Arial" w:eastAsia="Arial"/>
          <w:sz w:val="24"/>
          <w:vertAlign w:val="subscript"/>
        </w:rPr>
        <w:t>4</w:t>
      </w:r>
      <w:r>
        <w:rPr>
          <w:rFonts w:ascii="Arial" w:hAnsi="Arial" w:cs="Arial" w:eastAsia="Arial"/>
          <w:sz w:val="24"/>
          <w:vertAlign w:val="baseline"/>
        </w:rPr>
        <w:t>N</w:t>
      </w:r>
      <w:r>
        <w:rPr>
          <w:rFonts w:ascii="Arial" w:hAnsi="Arial" w:cs="Arial" w:eastAsia="Arial"/>
          <w:sz w:val="24"/>
          <w:vertAlign w:val="subscript"/>
        </w:rPr>
        <w:t>2</w:t>
      </w:r>
      <w:r>
        <w:rPr>
          <w:rFonts w:ascii="Arial" w:hAnsi="Arial" w:cs="Arial" w:eastAsia="Arial"/>
          <w:sz w:val="24"/>
          <w:vertAlign w:val="baseline"/>
        </w:rPr>
        <w:t>O</w:t>
      </w:r>
      <w:r>
        <w:rPr>
          <w:rFonts w:ascii="Arial" w:hAnsi="Arial" w:cs="Arial" w:eastAsia="Arial"/>
          <w:sz w:val="24"/>
          <w:vertAlign w:val="subscript"/>
        </w:rPr>
        <w:t>2</w:t>
      </w:r>
      <w:r>
        <w:rPr>
          <w:rFonts w:ascii="Arial" w:hAnsi="Arial" w:cs="Arial" w:eastAsia="Arial"/>
          <w:sz w:val="24"/>
          <w:vertAlign w:val="baseline"/>
        </w:rPr>
        <w: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14"/>
        </w:numPr>
        <w:tabs>
          <w:tab w:pos="939" w:val="left" w:leader="none"/>
          <w:tab w:pos="940" w:val="left" w:leader="none"/>
        </w:tabs>
        <w:spacing w:line="240" w:lineRule="auto" w:before="120" w:after="0"/>
        <w:ind w:left="940" w:right="0" w:hanging="360"/>
        <w:jc w:val="left"/>
        <w:rPr>
          <w:sz w:val="24"/>
        </w:rPr>
      </w:pPr>
      <w:r>
        <w:rPr>
          <w:rFonts w:ascii="Arial" w:hAnsi="Arial" w:cs="Arial" w:eastAsia="Arial"/>
          <w:sz w:val="24"/>
        </w:rPr>
        <w:t>Molecular weight:</w:t>
      </w:r>
      <w:r>
        <w:rPr>
          <w:rFonts w:ascii="Arial" w:hAnsi="Arial" w:cs="Arial" w:eastAsia="Arial"/>
          <w:spacing w:val="58"/>
          <w:sz w:val="24"/>
        </w:rPr>
        <w:t xml:space="preserve">  </w:t>
      </w:r>
      <w:r>
        <w:rPr>
          <w:rFonts w:ascii="Arial" w:hAnsi="Arial" w:cs="Arial" w:eastAsia="Arial"/>
          <w:sz w:val="24"/>
        </w:rPr>
        <w:t xml:space="preserve">  284.23</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1"/>
        <w:rPr>
          <w:sz w:val="34"/>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19" w:val="left" w:leader="none"/>
          <w:tab w:pos="1420" w:val="left" w:leader="none"/>
        </w:tabs>
        <w:spacing w:line="240" w:lineRule="auto" w:before="0" w:after="0"/>
        <w:ind w:left="1420" w:right="0" w:hanging="1200"/>
        <w:jc w:val="left"/>
        <w:rPr>
          <w:rFonts w:ascii="Arial"/>
          <w:sz w:val="22"/>
        </w:rPr>
      </w:pPr>
      <w:bookmarkStart w:name="9.4.2.2 Comparator Drug" w:id="120"/>
      <w:bookmarkEnd w:id="120"/>
      <w:r>
        <w:rPr>
          <w:rFonts w:ascii="Arial" w:hAnsi="Arial" w:cs="Arial" w:eastAsia="Arial"/>
        </w:rPr>
      </w:r>
      <w:bookmarkStart w:name="_bookmark42" w:id="121"/>
      <w:bookmarkEnd w:id="121"/>
      <w:r>
        <w:rPr>
          <w:rFonts w:ascii="Arial" w:hAnsi="Arial" w:cs="Arial" w:eastAsia="Arial"/>
        </w:rPr>
      </w:r>
      <w:bookmarkStart w:name="_bookmark42" w:id="122"/>
      <w:bookmarkEnd w:id="122"/>
      <w:r>
        <w:rPr>
          <w:rFonts w:ascii="Arial" w:hAnsi="Arial" w:cs="Arial" w:eastAsia="Arial"/>
          <w:sz w:val="22"/>
        </w:rPr>
        <w:t>Comparato</w:t>
      </w:r>
      <w:r>
        <w:rPr>
          <w:rFonts w:ascii="Arial" w:hAnsi="Arial" w:cs="Arial" w:eastAsia="Arial"/>
          <w:sz w:val="22"/>
        </w:rPr>
        <w:t>r</w:t>
      </w:r>
      <w:r>
        <w:rPr>
          <w:rFonts w:ascii="Arial" w:hAnsi="Arial" w:cs="Arial" w:eastAsia="Arial"/>
          <w:spacing w:val="-2"/>
          <w:sz w:val="22"/>
        </w:rPr>
        <w:t xml:space="preserve">  </w:t>
      </w:r>
      <w:r>
        <w:rPr>
          <w:rFonts w:ascii="Arial" w:hAnsi="Arial" w:cs="Arial" w:eastAsia="Arial"/>
          <w:sz w:val="22"/>
        </w:rPr>
        <w:t xml:space="preserve">  Drug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pPr>
      <w:r>
        <w:rPr>
          <w:rFonts w:ascii="Arial" w:hAnsi="Arial" w:cs="Arial" w:eastAsia="Arial"/>
        </w:rPr>
        <w:t>Placebo capsule matched to E2730 capsule will be administered.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19" w:val="left" w:leader="none"/>
          <w:tab w:pos="1420" w:val="left" w:leader="none"/>
        </w:tabs>
        <w:spacing w:line="240" w:lineRule="auto" w:before="0" w:after="0"/>
        <w:ind w:left="1420" w:right="0" w:hanging="1200"/>
        <w:jc w:val="left"/>
        <w:rPr>
          <w:rFonts w:ascii="Arial"/>
          <w:sz w:val="22"/>
        </w:rPr>
      </w:pPr>
      <w:bookmarkStart w:name="9.4.2.3 Labeling for Study Drug" w:id="123"/>
      <w:bookmarkEnd w:id="123"/>
      <w:r>
        <w:rPr>
          <w:rFonts w:ascii="Arial" w:hAnsi="Arial" w:cs="Arial" w:eastAsia="Arial"/>
        </w:rPr>
      </w:r>
      <w:bookmarkStart w:name="_bookmark43" w:id="124"/>
      <w:bookmarkEnd w:id="124"/>
      <w:r>
        <w:rPr>
          <w:rFonts w:ascii="Arial" w:hAnsi="Arial" w:cs="Arial" w:eastAsia="Arial"/>
        </w:rPr>
      </w:r>
      <w:bookmarkStart w:name="_bookmark43" w:id="125"/>
      <w:bookmarkEnd w:id="125"/>
      <w:r>
        <w:rPr>
          <w:rFonts w:ascii="Arial" w:hAnsi="Arial" w:cs="Arial" w:eastAsia="Arial"/>
          <w:sz w:val="22"/>
        </w:rPr>
        <w:t>Labelin</w:t>
      </w:r>
      <w:r>
        <w:rPr>
          <w:rFonts w:ascii="Arial" w:hAnsi="Arial" w:cs="Arial" w:eastAsia="Arial"/>
          <w:sz w:val="22"/>
        </w:rPr>
        <w:t>g for Study</w:t>
      </w:r>
      <w:r>
        <w:rPr>
          <w:rFonts w:ascii="Arial" w:hAnsi="Arial" w:cs="Arial" w:eastAsia="Arial"/>
          <w:spacing w:val="-4"/>
          <w:sz w:val="22"/>
        </w:rPr>
        <w:t xml:space="preserve">  </w:t>
      </w:r>
      <w:r>
        <w:rPr>
          <w:rFonts w:ascii="Arial" w:hAnsi="Arial" w:cs="Arial" w:eastAsia="Arial"/>
          <w:sz w:val="22"/>
        </w:rPr>
        <w:t xml:space="preserve">  Drug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pPr>
      <w:r>
        <w:rPr>
          <w:rFonts w:ascii="Arial" w:hAnsi="Arial" w:cs="Arial" w:eastAsia="Arial"/>
        </w:rPr>
        <w:t>E2730 will be labeled in accordance with text that is in full regulatory compliance.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19" w:val="left" w:leader="none"/>
          <w:tab w:pos="1420" w:val="left" w:leader="none"/>
        </w:tabs>
        <w:spacing w:line="240" w:lineRule="auto" w:before="1" w:after="0"/>
        <w:ind w:left="1420" w:right="0" w:hanging="1200"/>
        <w:jc w:val="left"/>
        <w:rPr>
          <w:rFonts w:ascii="Arial"/>
          <w:sz w:val="22"/>
        </w:rPr>
      </w:pPr>
      <w:bookmarkStart w:name="9.4.2.4 Storage Conditions" w:id="126"/>
      <w:bookmarkEnd w:id="126"/>
      <w:r>
        <w:rPr>
          <w:rFonts w:ascii="Arial" w:hAnsi="Arial" w:cs="Arial" w:eastAsia="Arial"/>
        </w:rPr>
      </w:r>
      <w:bookmarkStart w:name="_bookmark44" w:id="127"/>
      <w:bookmarkEnd w:id="127"/>
      <w:r>
        <w:rPr>
          <w:rFonts w:ascii="Arial" w:hAnsi="Arial" w:cs="Arial" w:eastAsia="Arial"/>
        </w:rPr>
      </w:r>
      <w:bookmarkStart w:name="_bookmark44" w:id="128"/>
      <w:bookmarkEnd w:id="128"/>
      <w:r>
        <w:rPr>
          <w:rFonts w:ascii="Arial" w:hAnsi="Arial" w:cs="Arial" w:eastAsia="Arial"/>
          <w:sz w:val="22"/>
        </w:rPr>
        <w:t>Storag</w:t>
      </w:r>
      <w:r>
        <w:rPr>
          <w:rFonts w:ascii="Arial" w:hAnsi="Arial" w:cs="Arial" w:eastAsia="Arial"/>
          <w:sz w:val="22"/>
        </w:rPr>
        <w:t>e</w:t>
      </w:r>
      <w:r>
        <w:rPr>
          <w:rFonts w:ascii="Arial" w:hAnsi="Arial" w:cs="Arial" w:eastAsia="Arial"/>
          <w:spacing w:val="-2"/>
          <w:sz w:val="22"/>
        </w:rPr>
        <w:t xml:space="preserve">  </w:t>
      </w:r>
      <w:r>
        <w:rPr>
          <w:rFonts w:ascii="Arial" w:hAnsi="Arial" w:cs="Arial" w:eastAsia="Arial"/>
          <w:sz w:val="22"/>
        </w:rPr>
        <w:t xml:space="preserve">  Conditions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5"/>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242"/>
      </w:pPr>
      <w:r>
        <w:rPr>
          <w:rFonts w:ascii="Arial" w:hAnsi="Arial" w:cs="Arial" w:eastAsia="Arial"/>
        </w:rPr>
        <w:t>E2730 will be stored in accordance with labeled storage conditions. Temperature monitoring is required at the storage location to ensure that E2730 is maintained within 2ºC to 8ºC. The investigator or designee is responsible for ensuring that the temperature is monitored throughout the total duration of the study and that records are maintained; the temperature should be monitored continuously by using either an in-house validated data acquisition system, a mechanical recording device, such as a calibrated chart recorder, or by manual means, such that minimum and maximum thermometric values over a specific time period can be recorded and retrieved as required.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rPr>
          <w:sz w:val="21"/>
        </w:rPr>
      </w:pPr>
    </w:p>
    <w:p>
      <w:r>
        <w:cr/>
      </w:r>
    </w:p>
    <w:p>
      <w:pPr>
        <w:pStyle w:val="Heading3"/>
        <w:keepNext w:val="on"/>
        <w:ind w:left="3"/>
      </w:pPr>
      <w:r>
        <w:rPr>
          <w:rFonts w:ascii="Arial" w:hAnsi="Arial" w:cs="Arial" w:eastAsia="Arial"/>
          <w:b w:val="true"/>
          <w:sz w:val="22"/>
        </w:rPr>
        <w:t xml:space="preserve">    9.4.3 </w:t>
        <w:t>METHOD OF ASSIGNING PATIENTS TO TREATMENT GROUPS</w:t>
      </w:r>
      <w:bookmarkStart w:name="_METHOD_OF_ASSIGNING_PATIENTS_TO_TREATMENT_GROUPS" w:id="1275"/>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20" w:right="254"/>
      </w:pPr>
      <w:r>
        <w:rPr>
          <w:rFonts w:ascii="Arial" w:hAnsi="Arial" w:cs="Arial" w:eastAsia="Arial"/>
        </w:rPr>
        <w:t>Subjects will be assigned to all 3 treatments based on a computer-generated randomization scheme that will be reviewed and approved by an independent statistician. The randomization scheme and identification for each subject will be included in the final clinical study report for this</w:t>
      </w:r>
      <w:r>
        <w:rPr>
          <w:rFonts w:ascii="Arial" w:hAnsi="Arial" w:cs="Arial" w:eastAsia="Arial"/>
          <w:spacing w:val="-6"/>
        </w:rPr>
        <w:t xml:space="preserve">  </w:t>
      </w:r>
      <w:r>
        <w:rPr>
          <w:rFonts w:ascii="Arial" w:hAnsi="Arial" w:cs="Arial" w:eastAsia="Arial"/>
        </w:rPr>
        <w:t xml:space="preserv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w:r>
        <w:cr/>
      </w:r>
    </w:p>
    <w:p>
      <w:pPr>
        <w:pStyle w:val="Heading3"/>
        <w:keepNext w:val="on"/>
        <w:ind w:left="3"/>
      </w:pPr>
      <w:r>
        <w:rPr>
          <w:rFonts w:ascii="Arial" w:hAnsi="Arial" w:cs="Arial" w:eastAsia="Arial"/>
          <w:b w:val="true"/>
          <w:sz w:val="22"/>
        </w:rPr>
        <w:t xml:space="preserve">    9.4.4 </w:t>
        <w:t>SELECTION OF DOSES IN THE STUDY</w:t>
      </w:r>
      <w:bookmarkStart w:name="_SELECTION_OF_DOSES_IN_THE_STUDY" w:id="1276"/>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96"/>
      </w:pPr>
      <w:r>
        <w:rPr>
          <w:rFonts w:ascii="Arial" w:hAnsi="Arial" w:cs="Arial" w:eastAsia="Arial"/>
        </w:rPr>
        <w:t>E2730 is currently studied in the SAD study (Study 002). In rat amygdala kindling model, which is considered the most clinically relevant animal model for investigating the effect of compound on partial-onset seizures, E2730 showed a significant and dose-dependent antiseizure effect after the single oral administration.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20"/>
      </w:pPr>
      <w:r>
        <w:rPr>
          <w:rFonts w:ascii="Arial" w:hAnsi="Arial" w:cs="Arial" w:eastAsia="Arial"/>
        </w:rPr>
        <w:t>Two doses are currently being considered for this study. Based on the data from the ongoing Study 002, the anticipated exposure at the dose of 120 mg will be within the exposure limits imposed by the FDA. An additional, lower dose of 40 mg is being considered to provide exposure data to further evaluate PK/PD relationship of E2730. The data from this study will also support initial dose response analysis and provide a dose for future studies.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20"/>
      </w:pPr>
      <w:r>
        <w:rPr>
          <w:rFonts w:ascii="Arial" w:hAnsi="Arial" w:cs="Arial" w:eastAsia="Arial"/>
        </w:rPr>
        <w:t>The doses in this study will be finalized after all cohorts in Study 002 have been evaluated.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w:r>
        <w:cr/>
      </w:r>
    </w:p>
    <w:p>
      <w:pPr>
        <w:pStyle w:val="Heading3"/>
        <w:keepNext w:val="on"/>
        <w:ind w:left="3"/>
      </w:pPr>
      <w:r>
        <w:rPr>
          <w:rFonts w:ascii="Arial" w:hAnsi="Arial" w:cs="Arial" w:eastAsia="Arial"/>
          <w:b w:val="true"/>
          <w:sz w:val="22"/>
        </w:rPr>
        <w:t xml:space="preserve">    9.4.5 </w:t>
        <w:t>SELECTION AND TIMING OF DOSE FOR INDIVIDUAL PATIENTS</w:t>
      </w:r>
      <w:bookmarkStart w:name="_SELECTION_AND_TIMING_OF_DOSE_FOR_INDIVIDUAL_PATIENTS" w:id="1277"/>
    </w:p>
    <w:p>
      <w:pPr>
        <w:pStyle w:val="Heading3"/>
        <w:keepNext w:val="on"/>
        <w:ind w:left="3"/>
      </w:pPr>
      <w:r>
        <w:rPr>
          <w:rFonts w:ascii="Arial" w:hAnsi="Arial" w:cs="Arial" w:eastAsia="Arial"/>
          <w:b w:val="true"/>
          <w:sz w:val="22"/>
        </w:rPr>
        <w:t xml:space="preserve">    9.4.6 </w:t>
        <w:t>PRIOR AND CONCOMITANT THERAPY</w:t>
      </w:r>
      <w:bookmarkStart w:name="_PRIOR_AND_CONCOMITANT_THERAPY" w:id="1278"/>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20" w:right="668"/>
        <w:jc w:val="both"/>
      </w:pPr>
      <w:r>
        <w:rPr>
          <w:rFonts w:ascii="Arial" w:hAnsi="Arial" w:cs="Arial" w:eastAsia="Arial"/>
        </w:rPr>
        <w:t>Any medication (including over-the-counter medications) or therapy administered to the subject during the study (starting at the date of informed consent) will be recorded on the Prior &amp; Concomitant Medication CRF or Non-Pharmacological Procedures CRF. Up to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55"/>
      </w:pPr>
      <w:r>
        <w:rPr>
          <w:rFonts w:ascii="Arial" w:hAnsi="Arial" w:cs="Arial" w:eastAsia="Arial"/>
        </w:rPr>
        <w:t>3 concomitant AEDs (</w:t>
      </w:r>
      <w:hyperlink w:history="true" w:anchor="_bookmark136">
        <w:r>
          <w:rPr>
            <w:rFonts w:ascii="Arial" w:hAnsi="Arial" w:cs="Arial" w:eastAsia="Arial"/>
            <w:color w:val="0000FF"/>
          </w:rPr>
          <w:t>Appendix 2</w:t>
        </w:r>
      </w:hyperlink>
      <w:r>
        <w:rPr>
          <w:rFonts w:ascii="Arial" w:hAnsi="Arial" w:cs="Arial" w:eastAsia="Arial"/>
        </w:rPr>
        <w:t>) are allowed during the course of the study, provided that the dosage of concomitant AED(s) has remained stable for at least 4 weeks prior to screening. During the study, changes to concomitant AEDs (including dosage) are not permitted.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349"/>
      </w:pPr>
      <w:r>
        <w:rPr>
          <w:rFonts w:ascii="Arial" w:hAnsi="Arial" w:cs="Arial" w:eastAsia="Arial"/>
        </w:rPr>
        <w:t>The investigator will record on the AE CRF any AE for which the concomitant medication/therapy was administered. If the concomitant medication/therapy is being administered for a medical condition present at the time of entry into the study, the investigator will record the medical condition on the Medical History and Current Medical Condition CRF.</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19" w:val="left" w:leader="none"/>
          <w:tab w:pos="1420" w:val="left" w:leader="none"/>
        </w:tabs>
        <w:spacing w:line="240" w:lineRule="auto" w:before="0" w:after="0"/>
        <w:ind w:left="1420" w:right="0" w:hanging="1200"/>
        <w:jc w:val="left"/>
        <w:rPr>
          <w:rFonts w:ascii="Arial"/>
          <w:sz w:val="22"/>
        </w:rPr>
      </w:pPr>
      <w:bookmarkStart w:name="9.4.7.1 Prohibited Concomitant Therapies" w:id="144"/>
      <w:bookmarkEnd w:id="144"/>
      <w:r>
        <w:rPr>
          <w:rFonts w:ascii="Arial" w:hAnsi="Arial" w:cs="Arial" w:eastAsia="Arial"/>
        </w:rPr>
      </w:r>
      <w:bookmarkStart w:name="_bookmark50" w:id="145"/>
      <w:bookmarkEnd w:id="145"/>
      <w:r>
        <w:rPr>
          <w:rFonts w:ascii="Arial" w:hAnsi="Arial" w:cs="Arial" w:eastAsia="Arial"/>
        </w:rPr>
      </w:r>
      <w:bookmarkStart w:name="_bookmark50" w:id="146"/>
      <w:bookmarkEnd w:id="146"/>
      <w:r>
        <w:rPr>
          <w:rFonts w:ascii="Arial" w:hAnsi="Arial" w:cs="Arial" w:eastAsia="Arial"/>
          <w:sz w:val="22"/>
        </w:rPr>
        <w:t>Prohibite</w:t>
      </w:r>
      <w:r>
        <w:rPr>
          <w:rFonts w:ascii="Arial" w:hAnsi="Arial" w:cs="Arial" w:eastAsia="Arial"/>
          <w:sz w:val="22"/>
        </w:rPr>
        <w:t>d Concomitant Therapies and</w:t>
      </w:r>
      <w:r>
        <w:rPr>
          <w:rFonts w:ascii="Arial" w:hAnsi="Arial" w:cs="Arial" w:eastAsia="Arial"/>
          <w:spacing w:val="-6"/>
          <w:sz w:val="22"/>
        </w:rPr>
        <w:t xml:space="preserve">  </w:t>
      </w:r>
      <w:r>
        <w:rPr>
          <w:rFonts w:ascii="Arial" w:hAnsi="Arial" w:cs="Arial" w:eastAsia="Arial"/>
          <w:sz w:val="22"/>
        </w:rPr>
        <w:t xml:space="preserve">  Drugs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1009"/>
      </w:pPr>
      <w:r>
        <w:rPr>
          <w:rFonts w:ascii="Arial" w:hAnsi="Arial" w:cs="Arial" w:eastAsia="Arial"/>
        </w:rPr>
        <w:t>GABAergic AEDs (such as tiagabine, vigabatrin, gabapentin, and pregabalin) are not allowed within 3 months prior to Screening and throughout the study (</w:t>
      </w:r>
      <w:hyperlink w:history="true" w:anchor="_bookmark136">
        <w:r>
          <w:rPr>
            <w:rFonts w:ascii="Arial" w:hAnsi="Arial" w:cs="Arial" w:eastAsia="Arial"/>
            <w:color w:val="0000FF"/>
          </w:rPr>
          <w:t>Appendix 2</w:t>
        </w:r>
      </w:hyperlink>
      <w:r>
        <w:rPr>
          <w:rFonts w:ascii="Arial" w:hAnsi="Arial" w:cs="Arial" w:eastAsia="Arial"/>
        </w:rPr>
        <w: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19" w:val="left" w:leader="none"/>
          <w:tab w:pos="1420" w:val="left" w:leader="none"/>
        </w:tabs>
        <w:spacing w:line="240" w:lineRule="auto" w:before="1" w:after="0"/>
        <w:ind w:left="1420" w:right="0" w:hanging="1200"/>
        <w:jc w:val="left"/>
        <w:rPr>
          <w:rFonts w:ascii="Arial"/>
          <w:sz w:val="22"/>
        </w:rPr>
      </w:pPr>
      <w:bookmarkStart w:name="9.4.7.2 Restrictions During the Study Pe" w:id="147"/>
      <w:bookmarkEnd w:id="147"/>
      <w:r>
        <w:rPr>
          <w:rFonts w:ascii="Arial" w:hAnsi="Arial" w:cs="Arial" w:eastAsia="Arial"/>
        </w:rPr>
      </w:r>
      <w:bookmarkStart w:name="_bookmark51" w:id="148"/>
      <w:bookmarkEnd w:id="148"/>
      <w:r>
        <w:rPr>
          <w:rFonts w:ascii="Arial" w:hAnsi="Arial" w:cs="Arial" w:eastAsia="Arial"/>
        </w:rPr>
      </w:r>
      <w:bookmarkStart w:name="_bookmark51" w:id="149"/>
      <w:bookmarkEnd w:id="149"/>
      <w:r>
        <w:rPr>
          <w:rFonts w:ascii="Arial" w:hAnsi="Arial" w:cs="Arial" w:eastAsia="Arial"/>
          <w:sz w:val="22"/>
        </w:rPr>
        <w:t>Restriction</w:t>
      </w:r>
      <w:r>
        <w:rPr>
          <w:rFonts w:ascii="Arial" w:hAnsi="Arial" w:cs="Arial" w:eastAsia="Arial"/>
          <w:sz w:val="22"/>
        </w:rPr>
        <w:t>s During the Study</w:t>
      </w:r>
      <w:r>
        <w:rPr>
          <w:rFonts w:ascii="Arial" w:hAnsi="Arial" w:cs="Arial" w:eastAsia="Arial"/>
          <w:spacing w:val="-5"/>
          <w:sz w:val="22"/>
        </w:rPr>
        <w:t xml:space="preserve">  </w:t>
      </w:r>
      <w:r>
        <w:rPr>
          <w:rFonts w:ascii="Arial" w:hAnsi="Arial" w:cs="Arial" w:eastAsia="Arial"/>
          <w:sz w:val="22"/>
        </w:rPr>
        <w:t xml:space="preserve">  Period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5"/>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428"/>
      </w:pPr>
      <w:r>
        <w:rPr>
          <w:rFonts w:ascii="Arial" w:hAnsi="Arial" w:cs="Arial" w:eastAsia="Arial"/>
        </w:rPr>
        <w:t>Study drug will be administered on the day of each Treatment Visit (ie, Day 1, Day 22, and Day 43) after an overnight fast of at least 8 hours. Treatments will be administered orally with approximately 240 mL (8 fluid ounces) of water. A light snack can be provided at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pPr>
      <w:r>
        <w:rPr>
          <w:rFonts w:ascii="Arial" w:hAnsi="Arial" w:cs="Arial" w:eastAsia="Arial"/>
        </w:rPr>
        <w:t>30 minutes predose (after clinical laboratory blood collection) and at 2 hours postdose.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20" w:right="289"/>
      </w:pPr>
      <w:r>
        <w:rPr>
          <w:rFonts w:ascii="Arial" w:hAnsi="Arial" w:cs="Arial" w:eastAsia="Arial"/>
        </w:rPr>
        <w:t>Water will be allowed as desired except from the time of dosing until 1 hour after study drug administration.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20"/>
      </w:pPr>
      <w:r>
        <w:rPr>
          <w:rFonts w:ascii="Arial" w:hAnsi="Arial" w:cs="Arial" w:eastAsia="Arial"/>
        </w:rPr>
        <w:t>Subjects will be required to abstain from watching television or using any device with an animated screen (ie, computer, video games, tablets) within the 24 hour period prior to each dosing. Subjects will be required to refrain from strenuous exercise and alcohol consumption during the 24-hour period before Screening and during the 24-hour period prior to each treatment day.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w:r>
        <w:cr/>
      </w:r>
    </w:p>
    <w:p>
      <w:pPr>
        <w:pStyle w:val="Heading3"/>
        <w:keepNext w:val="on"/>
        <w:ind w:left="3"/>
      </w:pPr>
      <w:r>
        <w:rPr>
          <w:rFonts w:ascii="Arial" w:hAnsi="Arial" w:cs="Arial" w:eastAsia="Arial"/>
          <w:b w:val="true"/>
          <w:sz w:val="22"/>
        </w:rPr>
        <w:t xml:space="preserve">    9.4.7 </w:t>
        <w:t>TREATMENT COMPLIANCE</w:t>
      </w:r>
      <w:bookmarkStart w:name="_TREATMENT_COMPLIANCE" w:id="1279"/>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right="581"/>
      </w:pPr>
      <w:r>
        <w:rPr>
          <w:rFonts w:ascii="Arial" w:hAnsi="Arial" w:cs="Arial" w:eastAsia="Arial"/>
        </w:rPr>
        <w:t>Not applicable as study drug will be administered in the study site by study personnel and records will be maintained.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w:r>
        <w:cr/>
      </w:r>
    </w:p>
    <w:p>
      <w:pPr>
        <w:pStyle w:val="Heading3"/>
        <w:keepNext w:val="on"/>
        <w:ind w:left="2"/>
      </w:pPr>
      <w:r>
        <w:rPr>
          <w:rFonts w:ascii="Arial" w:hAnsi="Arial" w:cs="Arial" w:eastAsia="Arial"/>
          <w:b w:val="true"/>
          <w:sz w:val="24"/>
        </w:rPr>
        <w:t xml:space="preserve">  9.5 </w:t>
        <w:t>EFFICACY AND SAFETY VARIABLES</w:t>
      </w:r>
      <w:bookmarkStart w:name="_EFFICACY_AND_SAFETY_VARIABLES" w:id="1280"/>
    </w:p>
    <w:p>
      <w:pPr>
        <w:pStyle w:val="Heading3"/>
        <w:keepNext w:val="on"/>
        <w:ind w:left="3"/>
      </w:pPr>
      <w:r>
        <w:rPr>
          <w:rFonts w:ascii="Arial" w:hAnsi="Arial" w:cs="Arial" w:eastAsia="Arial"/>
          <w:b w:val="true"/>
          <w:color w:val="ffc800"/>
          <w:sz w:val="22"/>
        </w:rPr>
        <w:t xml:space="preserve">    9.5.1 </w:t>
        <w:t>EFFICACY AND SAFETY MEASUREMENTS ASSESSED</w:t>
      </w:r>
      <w:bookmarkStart w:name="_EFFICACY_AND_SAFETY_MEASUREMENTS_ASSESSED" w:id="1281"/>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rPr>
          <w:rFonts w:ascii="Arial"/>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24"/>
        </w:numPr>
        <w:tabs>
          <w:tab w:pos="1419" w:val="left" w:leader="none"/>
          <w:tab w:pos="1420" w:val="left" w:leader="none"/>
        </w:tabs>
        <w:spacing w:line="240" w:lineRule="auto" w:before="0" w:after="0"/>
        <w:ind w:left="1420" w:right="0" w:hanging="1200"/>
        <w:jc w:val="left"/>
        <w:rPr>
          <w:rFonts w:ascii="Arial"/>
          <w:sz w:val="22"/>
        </w:rPr>
      </w:pPr>
      <w:bookmarkStart w:name="9.5.2.1 Schedule of Procedures/Assessmen" w:id="209"/>
      <w:bookmarkEnd w:id="209"/>
      <w:r>
        <w:rPr>
          <w:rFonts w:ascii="Arial" w:hAnsi="Arial" w:cs="Arial" w:eastAsia="Arial"/>
        </w:rPr>
      </w:r>
      <w:bookmarkStart w:name="_bookmark77" w:id="210"/>
      <w:bookmarkEnd w:id="210"/>
      <w:r>
        <w:rPr>
          <w:rFonts w:ascii="Arial" w:hAnsi="Arial" w:cs="Arial" w:eastAsia="Arial"/>
        </w:rPr>
      </w:r>
      <w:bookmarkStart w:name="_bookmark77" w:id="211"/>
      <w:bookmarkEnd w:id="211"/>
      <w:r>
        <w:rPr>
          <w:rFonts w:ascii="Arial" w:hAnsi="Arial" w:cs="Arial" w:eastAsia="Arial"/>
          <w:sz w:val="22"/>
        </w:rPr>
        <w:t>Schedul</w:t>
      </w:r>
      <w:r>
        <w:rPr>
          <w:rFonts w:ascii="Arial" w:hAnsi="Arial" w:cs="Arial" w:eastAsia="Arial"/>
          <w:sz w:val="22"/>
        </w:rPr>
        <w:t>e of</w:t>
      </w:r>
      <w:r>
        <w:rPr>
          <w:rFonts w:ascii="Arial" w:hAnsi="Arial" w:cs="Arial" w:eastAsia="Arial"/>
          <w:spacing w:val="-3"/>
          <w:sz w:val="22"/>
        </w:rPr>
        <w:t xml:space="preserve">  </w:t>
      </w:r>
      <w:r>
        <w:rPr>
          <w:rFonts w:ascii="Arial" w:hAnsi="Arial" w:cs="Arial" w:eastAsia="Arial"/>
          <w:sz w:val="22"/>
        </w:rPr>
        <w:t xml:space="preserve">  Procedures/Assessments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pPr>
      <w:hyperlink w:history="true" w:anchor="_bookmark78">
        <w:r>
          <w:rPr>
            <w:rFonts w:ascii="Arial" w:hAnsi="Arial" w:cs="Arial" w:eastAsia="Arial"/>
            <w:color w:val="0000FF"/>
          </w:rPr>
          <w:t>Table 5</w:t>
        </w:r>
      </w:hyperlink>
      <w:r>
        <w:rPr>
          <w:rFonts w:ascii="Arial" w:hAnsi="Arial" w:cs="Arial" w:eastAsia="Arial"/>
          <w:color w:val="0000FF"/>
        </w:rPr>
        <w:t xml:space="preserve">  </w:t>
      </w:r>
      <w:r>
        <w:rPr>
          <w:rFonts w:ascii="Arial" w:hAnsi="Arial" w:cs="Arial" w:eastAsia="Arial"/>
        </w:rPr>
        <w:t xml:space="preserve">  presents the schedule of procedures/assessments for the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after="0"/>
        <w:sectPr>
          <w:pgSz w:w="12240" w:h="15840"/>
          <w:pgMar w:header="722" w:footer="1160" w:top="1340" w:bottom="1360" w:left="1580" w:right="1220"/>
        </w:sect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7"/>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tabs>
          <w:tab w:pos="1599" w:val="left" w:leader="none"/>
        </w:tabs>
        <w:spacing w:before="92"/>
        <w:ind w:left="160"/>
        <w:rPr>
          <w:rFonts w:ascii="Arial"/>
        </w:rPr>
      </w:pPr>
      <w:bookmarkStart w:name="_bookmark78" w:id="212"/>
      <w:bookmarkEnd w:id="212"/>
      <w:r>
        <w:rPr>
          <w:rFonts w:ascii="Arial" w:hAnsi="Arial" w:cs="Arial" w:eastAsia="Arial"/>
          <w:b w:val="0"/>
        </w:rPr>
      </w:r>
      <w:r>
        <w:rPr>
          <w:rFonts w:ascii="Arial" w:hAnsi="Arial" w:cs="Arial" w:eastAsia="Arial"/>
        </w:rPr>
        <w:t>Table</w:t>
      </w:r>
      <w:r>
        <w:rPr>
          <w:rFonts w:ascii="Arial" w:hAnsi="Arial" w:cs="Arial" w:eastAsia="Arial"/>
          <w:spacing w:val="1"/>
        </w:rPr>
        <w:t xml:space="preserve">  </w:t>
      </w:r>
      <w:r>
        <w:rPr>
          <w:rFonts w:ascii="Arial" w:hAnsi="Arial" w:cs="Arial" w:eastAsia="Arial"/>
        </w:rPr>
        <w:t xml:space="preserve">  5</w:t>
        <w:tab/>
        <w:t>Schedule of Procedures/Assessments in Study</w:t>
      </w:r>
      <w:r>
        <w:rPr>
          <w:rFonts w:ascii="Arial" w:hAnsi="Arial" w:cs="Arial" w:eastAsia="Arial"/>
          <w:spacing w:val="-2"/>
        </w:rPr>
        <w:t xml:space="preserve">  </w:t>
      </w:r>
      <w:r>
        <w:rPr>
          <w:rFonts w:ascii="Arial" w:hAnsi="Arial" w:cs="Arial" w:eastAsia="Arial"/>
        </w:rPr>
        <w:t xml:space="preserve">  E2730-A001-201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rFonts w:ascii="Arial"/>
          <w:b/>
          <w:sz w:val="10"/>
        </w:rPr>
      </w:pPr>
    </w:p>
    <w:tbl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35"/>
        <w:gridCol w:w="1925"/>
        <w:gridCol w:w="1162"/>
        <w:gridCol w:w="1162"/>
        <w:gridCol w:w="1160"/>
        <w:gridCol w:w="1714"/>
        <w:gridCol w:w="2360"/>
      </w:tblGrid>
      <w:tr>
        <w:trPr>
          <w:trHeight w:val="350" w:hRule="atLeast"/>
        </w:trPr>
        <w:tc>
          <w:tcPr>
            <w:tcW w:w="3535" w:type="dxa"/>
          </w:tcPr>
          <w:p>
            <w:pPr>
              <w:pStyle w:val="TableParagraph"/>
              <w:spacing w:before="58"/>
              <w:ind w:left="107"/>
              <w:rPr>
                <w:b/>
                <w:sz w:val="20"/>
              </w:rPr>
            </w:pPr>
            <w:r>
              <w:rPr>
                <w:rFonts w:ascii="Arial" w:hAnsi="Arial" w:cs="Arial" w:eastAsia="Arial"/>
                <w:b/>
                <w:sz w:val="20"/>
              </w:rPr>
              <w:t>Phase</w:t>
            </w:r>
          </w:p>
        </w:tc>
        <w:tc>
          <w:tcPr>
            <w:tcW w:w="1925" w:type="dxa"/>
          </w:tcPr>
          <w:p>
            <w:pPr>
              <w:pStyle w:val="TableParagraph"/>
              <w:spacing w:before="58"/>
              <w:ind w:left="163" w:right="155"/>
              <w:jc w:val="center"/>
              <w:rPr>
                <w:b/>
                <w:sz w:val="20"/>
              </w:rPr>
            </w:pPr>
            <w:r>
              <w:rPr>
                <w:rFonts w:ascii="Arial" w:hAnsi="Arial" w:cs="Arial" w:eastAsia="Arial"/>
                <w:b/>
                <w:sz w:val="20"/>
              </w:rPr>
              <w:t>Prerandomization</w:t>
            </w:r>
          </w:p>
        </w:tc>
        <w:tc>
          <w:tcPr>
            <w:tcW w:w="5198" w:type="dxa"/>
            <w:gridSpan w:val="4"/>
          </w:tcPr>
          <w:p>
            <w:pPr>
              <w:pStyle w:val="TableParagraph"/>
              <w:spacing w:before="58"/>
              <w:ind w:left="1920" w:right="1915"/>
              <w:jc w:val="center"/>
              <w:rPr>
                <w:b/>
                <w:sz w:val="20"/>
              </w:rPr>
            </w:pPr>
            <w:r>
              <w:rPr>
                <w:rFonts w:ascii="Arial" w:hAnsi="Arial" w:cs="Arial" w:eastAsia="Arial"/>
                <w:b/>
                <w:sz w:val="20"/>
              </w:rPr>
              <w:t>Randomization</w:t>
            </w:r>
          </w:p>
        </w:tc>
        <w:tc>
          <w:tcPr>
            <w:tcW w:w="2360" w:type="dxa"/>
            <w:vMerge w:val="restart"/>
          </w:tcPr>
          <w:p>
            <w:pPr>
              <w:pStyle w:val="TableParagraph"/>
              <w:rPr>
                <w:rFonts w:ascii="Arial"/>
                <w:b/>
                <w:sz w:val="22"/>
              </w:rPr>
            </w:pPr>
          </w:p>
          <w:p>
            <w:pPr>
              <w:pStyle w:val="TableParagraph"/>
              <w:rPr>
                <w:rFonts w:ascii="Arial"/>
                <w:b/>
                <w:sz w:val="22"/>
              </w:rPr>
            </w:pPr>
          </w:p>
          <w:p>
            <w:pPr>
              <w:pStyle w:val="TableParagraph"/>
              <w:spacing w:before="142"/>
              <w:ind w:left="626"/>
              <w:rPr>
                <w:b/>
                <w:sz w:val="20"/>
              </w:rPr>
            </w:pPr>
            <w:r>
              <w:rPr>
                <w:rFonts w:ascii="Arial" w:hAnsi="Arial" w:cs="Arial" w:eastAsia="Arial"/>
                <w:b/>
                <w:sz w:val="20"/>
              </w:rPr>
              <w:t>Unscheduled</w:t>
            </w:r>
          </w:p>
        </w:tc>
      </w:tr>
      <w:tr>
        <w:trPr>
          <w:trHeight w:val="580" w:hRule="atLeast"/>
        </w:trPr>
        <w:tc>
          <w:tcPr>
            <w:tcW w:w="3535" w:type="dxa"/>
          </w:tcPr>
          <w:p>
            <w:pPr>
              <w:pStyle w:val="TableParagraph"/>
              <w:rPr>
                <w:rFonts w:ascii="Arial"/>
                <w:b/>
                <w:sz w:val="25"/>
              </w:rPr>
            </w:pPr>
          </w:p>
          <w:p>
            <w:pPr>
              <w:pStyle w:val="TableParagraph"/>
              <w:spacing w:before="1"/>
              <w:ind w:left="107"/>
              <w:rPr>
                <w:b/>
                <w:sz w:val="20"/>
              </w:rPr>
            </w:pPr>
            <w:r>
              <w:rPr>
                <w:rFonts w:ascii="Arial" w:hAnsi="Arial" w:cs="Arial" w:eastAsia="Arial"/>
                <w:b/>
                <w:sz w:val="20"/>
              </w:rPr>
              <w:t>Period</w:t>
            </w:r>
          </w:p>
        </w:tc>
        <w:tc>
          <w:tcPr>
            <w:tcW w:w="1925" w:type="dxa"/>
          </w:tcPr>
          <w:p>
            <w:pPr>
              <w:pStyle w:val="TableParagraph"/>
              <w:rPr>
                <w:rFonts w:ascii="Arial"/>
                <w:b/>
                <w:sz w:val="25"/>
              </w:rPr>
            </w:pPr>
          </w:p>
          <w:p>
            <w:pPr>
              <w:pStyle w:val="TableParagraph"/>
              <w:spacing w:before="1"/>
              <w:ind w:left="160" w:right="155"/>
              <w:jc w:val="center"/>
              <w:rPr>
                <w:b/>
                <w:sz w:val="20"/>
              </w:rPr>
            </w:pPr>
            <w:r>
              <w:rPr>
                <w:rFonts w:ascii="Arial" w:hAnsi="Arial" w:cs="Arial" w:eastAsia="Arial"/>
                <w:b/>
                <w:sz w:val="20"/>
              </w:rPr>
              <w:t>Screening</w:t>
            </w:r>
          </w:p>
        </w:tc>
        <w:tc>
          <w:tcPr>
            <w:tcW w:w="1162" w:type="dxa"/>
          </w:tcPr>
          <w:p>
            <w:pPr>
              <w:pStyle w:val="TableParagraph"/>
              <w:spacing w:before="58"/>
              <w:ind w:left="220" w:hanging="96"/>
              <w:rPr>
                <w:b/>
                <w:sz w:val="20"/>
              </w:rPr>
            </w:pPr>
            <w:r>
              <w:rPr>
                <w:rFonts w:ascii="Arial" w:hAnsi="Arial" w:cs="Arial" w:eastAsia="Arial"/>
                <w:b/>
                <w:w w:val="95"/>
                <w:sz w:val="20"/>
              </w:rPr>
              <w:t>Treatment </w:t>
            </w:r>
            <w:r>
              <w:rPr>
                <w:rFonts w:ascii="Arial" w:hAnsi="Arial" w:cs="Arial" w:eastAsia="Arial"/>
                <w:b/>
                <w:sz w:val="20"/>
              </w:rPr>
              <w:t>Period 1</w:t>
            </w:r>
          </w:p>
        </w:tc>
        <w:tc>
          <w:tcPr>
            <w:tcW w:w="1162" w:type="dxa"/>
          </w:tcPr>
          <w:p>
            <w:pPr>
              <w:pStyle w:val="TableParagraph"/>
              <w:spacing w:before="58"/>
              <w:ind w:left="220" w:hanging="96"/>
              <w:rPr>
                <w:b/>
                <w:sz w:val="20"/>
              </w:rPr>
            </w:pPr>
            <w:r>
              <w:rPr>
                <w:rFonts w:ascii="Arial" w:hAnsi="Arial" w:cs="Arial" w:eastAsia="Arial"/>
                <w:b/>
                <w:w w:val="95"/>
                <w:sz w:val="20"/>
              </w:rPr>
              <w:t>Treatment </w:t>
            </w:r>
            <w:r>
              <w:rPr>
                <w:rFonts w:ascii="Arial" w:hAnsi="Arial" w:cs="Arial" w:eastAsia="Arial"/>
                <w:b/>
                <w:sz w:val="20"/>
              </w:rPr>
              <w:t>Period 2</w:t>
            </w:r>
          </w:p>
        </w:tc>
        <w:tc>
          <w:tcPr>
            <w:tcW w:w="1160" w:type="dxa"/>
          </w:tcPr>
          <w:p>
            <w:pPr>
              <w:pStyle w:val="TableParagraph"/>
              <w:spacing w:before="58"/>
              <w:ind w:left="219" w:hanging="96"/>
              <w:rPr>
                <w:b/>
                <w:sz w:val="20"/>
              </w:rPr>
            </w:pPr>
            <w:r>
              <w:rPr>
                <w:rFonts w:ascii="Arial" w:hAnsi="Arial" w:cs="Arial" w:eastAsia="Arial"/>
                <w:b/>
                <w:w w:val="95"/>
                <w:sz w:val="20"/>
              </w:rPr>
              <w:t>Treatment </w:t>
            </w:r>
            <w:r>
              <w:rPr>
                <w:rFonts w:ascii="Arial" w:hAnsi="Arial" w:cs="Arial" w:eastAsia="Arial"/>
                <w:b/>
                <w:sz w:val="20"/>
              </w:rPr>
              <w:t>Period 3</w:t>
            </w:r>
          </w:p>
        </w:tc>
        <w:tc>
          <w:tcPr>
            <w:tcW w:w="1714" w:type="dxa"/>
          </w:tcPr>
          <w:p>
            <w:pPr>
              <w:pStyle w:val="TableParagraph"/>
              <w:spacing w:before="58"/>
              <w:ind w:left="142" w:hanging="5"/>
              <w:rPr>
                <w:b/>
                <w:sz w:val="20"/>
              </w:rPr>
            </w:pPr>
            <w:r>
              <w:rPr>
                <w:rFonts w:ascii="Arial" w:hAnsi="Arial" w:cs="Arial" w:eastAsia="Arial"/>
                <w:b/>
                <w:sz w:val="20"/>
              </w:rPr>
              <w:t>Follow-up /Early Discontinuation</w:t>
            </w:r>
            <w:r>
              <w:rPr>
                <w:rFonts w:ascii="Arial" w:hAnsi="Arial" w:cs="Arial" w:eastAsia="Arial"/>
                <w:b/>
                <w:sz w:val="20"/>
                <w:vertAlign w:val="superscript"/>
              </w:rPr>
              <w:t>a</w:t>
            </w:r>
          </w:p>
        </w:tc>
        <w:tc>
          <w:tcPr>
            <w:tcW w:w="2360" w:type="dxa"/>
            <w:vMerge/>
            <w:tcBorders>
              <w:top w:val="nil"/>
            </w:tcBorders>
          </w:tcPr>
          <w:p>
            <w:pPr>
              <w:rPr>
                <w:sz w:val="2"/>
                <w:szCs w:val="2"/>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Visit</w:t>
            </w:r>
          </w:p>
        </w:tc>
        <w:tc>
          <w:tcPr>
            <w:tcW w:w="1925" w:type="dxa"/>
          </w:tcPr>
          <w:p>
            <w:pPr>
              <w:pStyle w:val="TableParagraph"/>
              <w:spacing w:before="58"/>
              <w:ind w:left="8"/>
              <w:jc w:val="center"/>
              <w:rPr>
                <w:b/>
                <w:sz w:val="20"/>
              </w:rPr>
            </w:pPr>
            <w:r>
              <w:rPr>
                <w:rFonts w:ascii="Arial" w:hAnsi="Arial" w:cs="Arial" w:eastAsia="Arial"/>
                <w:b/>
                <w:w w:val="99"/>
                <w:sz w:val="20"/>
              </w:rPr>
              <w:t>1</w:t>
            </w:r>
          </w:p>
        </w:tc>
        <w:tc>
          <w:tcPr>
            <w:tcW w:w="1162" w:type="dxa"/>
          </w:tcPr>
          <w:p>
            <w:pPr>
              <w:pStyle w:val="TableParagraph"/>
              <w:spacing w:before="58"/>
              <w:ind w:left="530"/>
              <w:rPr>
                <w:b/>
                <w:sz w:val="20"/>
              </w:rPr>
            </w:pPr>
            <w:r>
              <w:rPr>
                <w:rFonts w:ascii="Arial" w:hAnsi="Arial" w:cs="Arial" w:eastAsia="Arial"/>
                <w:b/>
                <w:w w:val="99"/>
                <w:sz w:val="20"/>
              </w:rPr>
              <w:t>2</w:t>
            </w:r>
          </w:p>
        </w:tc>
        <w:tc>
          <w:tcPr>
            <w:tcW w:w="1162" w:type="dxa"/>
          </w:tcPr>
          <w:p>
            <w:pPr>
              <w:pStyle w:val="TableParagraph"/>
              <w:spacing w:before="58"/>
              <w:ind w:left="7"/>
              <w:jc w:val="center"/>
              <w:rPr>
                <w:b/>
                <w:sz w:val="20"/>
              </w:rPr>
            </w:pPr>
            <w:r>
              <w:rPr>
                <w:rFonts w:ascii="Arial" w:hAnsi="Arial" w:cs="Arial" w:eastAsia="Arial"/>
                <w:b/>
                <w:w w:val="99"/>
                <w:sz w:val="20"/>
              </w:rPr>
              <w:t>3</w:t>
            </w:r>
          </w:p>
        </w:tc>
        <w:tc>
          <w:tcPr>
            <w:tcW w:w="1160" w:type="dxa"/>
          </w:tcPr>
          <w:p>
            <w:pPr>
              <w:pStyle w:val="TableParagraph"/>
              <w:spacing w:before="58"/>
              <w:ind w:left="8"/>
              <w:jc w:val="center"/>
              <w:rPr>
                <w:b/>
                <w:sz w:val="20"/>
              </w:rPr>
            </w:pPr>
            <w:r>
              <w:rPr>
                <w:rFonts w:ascii="Arial" w:hAnsi="Arial" w:cs="Arial" w:eastAsia="Arial"/>
                <w:b/>
                <w:w w:val="99"/>
                <w:sz w:val="20"/>
              </w:rPr>
              <w:t>4</w:t>
            </w:r>
          </w:p>
        </w:tc>
        <w:tc>
          <w:tcPr>
            <w:tcW w:w="1714" w:type="dxa"/>
          </w:tcPr>
          <w:p>
            <w:pPr>
              <w:pStyle w:val="TableParagraph"/>
              <w:spacing w:before="58"/>
              <w:jc w:val="center"/>
              <w:rPr>
                <w:b/>
                <w:sz w:val="20"/>
              </w:rPr>
            </w:pPr>
            <w:r>
              <w:rPr>
                <w:rFonts w:ascii="Arial" w:hAnsi="Arial" w:cs="Arial" w:eastAsia="Arial"/>
                <w:b/>
                <w:w w:val="99"/>
                <w:sz w:val="20"/>
              </w:rPr>
              <w:t>5</w:t>
            </w:r>
          </w:p>
        </w:tc>
        <w:tc>
          <w:tcPr>
            <w:tcW w:w="2360" w:type="dxa"/>
          </w:tcPr>
          <w:p>
            <w:pPr>
              <w:pStyle w:val="TableParagraph"/>
              <w:rPr>
                <w:sz w:val="20"/>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Study Day</w:t>
            </w:r>
          </w:p>
        </w:tc>
        <w:tc>
          <w:tcPr>
            <w:tcW w:w="1925" w:type="dxa"/>
          </w:tcPr>
          <w:p>
            <w:pPr>
              <w:pStyle w:val="TableParagraph"/>
              <w:spacing w:before="58"/>
              <w:ind w:left="163" w:right="152"/>
              <w:jc w:val="center"/>
              <w:rPr>
                <w:b/>
                <w:sz w:val="20"/>
              </w:rPr>
            </w:pPr>
            <w:r>
              <w:rPr>
                <w:rFonts w:ascii="Arial" w:hAnsi="Arial" w:cs="Arial" w:eastAsia="Arial"/>
                <w:b/>
                <w:sz w:val="20"/>
              </w:rPr>
              <w:t>-21 to -1</w:t>
            </w:r>
          </w:p>
        </w:tc>
        <w:tc>
          <w:tcPr>
            <w:tcW w:w="1162" w:type="dxa"/>
          </w:tcPr>
          <w:p>
            <w:pPr>
              <w:pStyle w:val="TableParagraph"/>
              <w:spacing w:before="58"/>
              <w:ind w:left="530"/>
              <w:rPr>
                <w:b/>
                <w:sz w:val="20"/>
              </w:rPr>
            </w:pPr>
            <w:r>
              <w:rPr>
                <w:rFonts w:ascii="Arial" w:hAnsi="Arial" w:cs="Arial" w:eastAsia="Arial"/>
                <w:b/>
                <w:w w:val="99"/>
                <w:sz w:val="20"/>
              </w:rPr>
              <w:t>1</w:t>
            </w:r>
          </w:p>
        </w:tc>
        <w:tc>
          <w:tcPr>
            <w:tcW w:w="1162" w:type="dxa"/>
          </w:tcPr>
          <w:p>
            <w:pPr>
              <w:pStyle w:val="TableParagraph"/>
              <w:spacing w:before="58"/>
              <w:ind w:left="355" w:right="347"/>
              <w:jc w:val="center"/>
              <w:rPr>
                <w:b/>
                <w:sz w:val="20"/>
              </w:rPr>
            </w:pPr>
            <w:r>
              <w:rPr>
                <w:rFonts w:ascii="Arial" w:hAnsi="Arial" w:cs="Arial" w:eastAsia="Arial"/>
                <w:b/>
                <w:sz w:val="20"/>
              </w:rPr>
              <w:t>22±3</w:t>
            </w:r>
          </w:p>
        </w:tc>
        <w:tc>
          <w:tcPr>
            <w:tcW w:w="1160" w:type="dxa"/>
          </w:tcPr>
          <w:p>
            <w:pPr>
              <w:pStyle w:val="TableParagraph"/>
              <w:spacing w:before="58"/>
              <w:ind w:left="354" w:right="345"/>
              <w:jc w:val="center"/>
              <w:rPr>
                <w:b/>
                <w:sz w:val="20"/>
              </w:rPr>
            </w:pPr>
            <w:r>
              <w:rPr>
                <w:rFonts w:ascii="Arial" w:hAnsi="Arial" w:cs="Arial" w:eastAsia="Arial"/>
                <w:b/>
                <w:sz w:val="20"/>
              </w:rPr>
              <w:t>43±3</w:t>
            </w:r>
          </w:p>
        </w:tc>
        <w:tc>
          <w:tcPr>
            <w:tcW w:w="1714" w:type="dxa"/>
          </w:tcPr>
          <w:p>
            <w:pPr>
              <w:pStyle w:val="TableParagraph"/>
              <w:spacing w:before="58"/>
              <w:ind w:left="629" w:right="624"/>
              <w:jc w:val="center"/>
              <w:rPr>
                <w:b/>
                <w:sz w:val="20"/>
              </w:rPr>
            </w:pPr>
            <w:r>
              <w:rPr>
                <w:rFonts w:ascii="Arial" w:hAnsi="Arial" w:cs="Arial" w:eastAsia="Arial"/>
                <w:b/>
                <w:sz w:val="20"/>
              </w:rPr>
              <w:t>64±3</w:t>
            </w:r>
          </w:p>
        </w:tc>
        <w:tc>
          <w:tcPr>
            <w:tcW w:w="2360" w:type="dxa"/>
          </w:tcPr>
          <w:p>
            <w:pPr>
              <w:pStyle w:val="TableParagraph"/>
              <w:rPr>
                <w:sz w:val="20"/>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Procedures/Assessments</w:t>
            </w:r>
          </w:p>
        </w:tc>
        <w:tc>
          <w:tcPr>
            <w:tcW w:w="1925" w:type="dxa"/>
          </w:tcPr>
          <w:p>
            <w:pPr>
              <w:pStyle w:val="TableParagraph"/>
              <w:rPr>
                <w:sz w:val="20"/>
              </w:rPr>
            </w:pP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Informed Consent</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Demography</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Randomization</w:t>
            </w:r>
          </w:p>
        </w:tc>
        <w:tc>
          <w:tcPr>
            <w:tcW w:w="1925" w:type="dxa"/>
          </w:tcPr>
          <w:p>
            <w:pPr>
              <w:pStyle w:val="TableParagraph"/>
              <w:rPr>
                <w:sz w:val="20"/>
              </w:rPr>
            </w:pP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Inclusion/exclusion criteria</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Medical history</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Epilepsy medical history</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Physical examination</w:t>
            </w:r>
            <w:r>
              <w:rPr>
                <w:rFonts w:ascii="Arial" w:hAnsi="Arial" w:cs="Arial" w:eastAsia="Arial"/>
                <w:sz w:val="20"/>
                <w:vertAlign w:val="superscript"/>
              </w:rPr>
              <w:t>b</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Neurological examination</w:t>
            </w:r>
            <w:r>
              <w:rPr>
                <w:rFonts w:ascii="Arial" w:hAnsi="Arial" w:cs="Arial" w:eastAsia="Arial"/>
                <w:sz w:val="20"/>
                <w:vertAlign w:val="superscript"/>
              </w:rPr>
              <w:t>b</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Vital signs</w:t>
            </w:r>
            <w:r>
              <w:rPr>
                <w:rFonts w:ascii="Arial" w:hAnsi="Arial" w:cs="Arial" w:eastAsia="Arial"/>
                <w:sz w:val="20"/>
                <w:vertAlign w:val="superscript"/>
              </w:rPr>
              <w:t>c</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spacing w:before="53"/>
              <w:ind w:left="1104"/>
              <w:rPr>
                <w:sz w:val="20"/>
              </w:rPr>
            </w:pPr>
            <w:r>
              <w:rPr>
                <w:rFonts w:ascii="Arial" w:hAnsi="Arial" w:cs="Arial" w:eastAsia="Arial"/>
                <w:w w:val="99"/>
                <w:sz w:val="20"/>
              </w:rPr>
              <w:t>X</w:t>
            </w:r>
          </w:p>
        </w:tc>
      </w:tr>
      <w:tr>
        <w:trPr>
          <w:trHeight w:val="350" w:hRule="atLeast"/>
        </w:trPr>
        <w:tc>
          <w:tcPr>
            <w:tcW w:w="3535" w:type="dxa"/>
          </w:tcPr>
          <w:p>
            <w:pPr>
              <w:pStyle w:val="TableParagraph"/>
              <w:spacing w:before="53"/>
              <w:ind w:left="107"/>
              <w:rPr>
                <w:sz w:val="20"/>
              </w:rPr>
            </w:pPr>
            <w:r>
              <w:rPr>
                <w:rFonts w:ascii="Arial" w:hAnsi="Arial" w:cs="Arial" w:eastAsia="Arial"/>
                <w:sz w:val="20"/>
              </w:rPr>
              <w:t>Height and weight</w:t>
            </w:r>
            <w:r>
              <w:rPr>
                <w:rFonts w:ascii="Arial" w:hAnsi="Arial" w:cs="Arial" w:eastAsia="Arial"/>
                <w:sz w:val="20"/>
                <w:vertAlign w:val="superscript"/>
              </w:rPr>
              <w:t>d</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12-Lead ECG</w:t>
            </w:r>
            <w:r>
              <w:rPr>
                <w:rFonts w:ascii="Arial" w:hAnsi="Arial" w:cs="Arial" w:eastAsia="Arial"/>
                <w:sz w:val="20"/>
                <w:vertAlign w:val="superscript"/>
              </w:rPr>
              <w:t>e</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spacing w:before="27"/>
              <w:ind w:left="1082"/>
              <w:rPr>
                <w:sz w:val="13"/>
              </w:rPr>
            </w:pPr>
            <w:r>
              <w:rPr>
                <w:rFonts w:ascii="Arial" w:hAnsi="Arial" w:cs="Arial" w:eastAsia="Arial"/>
                <w:position w:val="-8"/>
                <w:sz w:val="20"/>
              </w:rPr>
              <w:t>X</w:t>
            </w:r>
            <w:r>
              <w:rPr>
                <w:rFonts w:ascii="Arial" w:hAnsi="Arial" w:cs="Arial" w:eastAsia="Arial"/>
                <w:sz w:val="13"/>
              </w:rPr>
              <w:t>f</w:t>
            </w:r>
          </w:p>
        </w:tc>
      </w:tr>
      <w:tr>
        <w:trPr>
          <w:trHeight w:val="350" w:hRule="atLeast"/>
        </w:trPr>
        <w:tc>
          <w:tcPr>
            <w:tcW w:w="3535" w:type="dxa"/>
          </w:tcPr>
          <w:p>
            <w:pPr>
              <w:pStyle w:val="TableParagraph"/>
              <w:spacing w:before="53"/>
              <w:ind w:left="107"/>
              <w:rPr>
                <w:sz w:val="20"/>
              </w:rPr>
            </w:pPr>
            <w:r>
              <w:rPr>
                <w:rFonts w:ascii="Arial" w:hAnsi="Arial" w:cs="Arial" w:eastAsia="Arial"/>
                <w:sz w:val="20"/>
              </w:rPr>
              <w:t>Clinical laboratory tests</w:t>
            </w:r>
            <w:r>
              <w:rPr>
                <w:rFonts w:ascii="Arial" w:hAnsi="Arial" w:cs="Arial" w:eastAsia="Arial"/>
                <w:sz w:val="20"/>
                <w:vertAlign w:val="superscript"/>
              </w:rPr>
              <w:t>g</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spacing w:before="53"/>
              <w:ind w:left="1104"/>
              <w:rPr>
                <w:sz w:val="20"/>
              </w:rPr>
            </w:pPr>
            <w:r>
              <w:rPr>
                <w:rFonts w:ascii="Arial" w:hAnsi="Arial" w:cs="Arial" w:eastAsia="Arial"/>
                <w:w w:val="99"/>
                <w:sz w:val="20"/>
              </w:rPr>
              <w:t>X</w:t>
            </w:r>
          </w:p>
        </w:tc>
      </w:tr>
      <w:tr>
        <w:trPr>
          <w:trHeight w:val="350" w:hRule="atLeast"/>
        </w:trPr>
        <w:tc>
          <w:tcPr>
            <w:tcW w:w="3535" w:type="dxa"/>
          </w:tcPr>
          <w:p>
            <w:pPr>
              <w:pStyle w:val="TableParagraph"/>
              <w:spacing w:before="53"/>
              <w:ind w:left="107"/>
              <w:rPr>
                <w:sz w:val="20"/>
              </w:rPr>
            </w:pPr>
            <w:r>
              <w:rPr>
                <w:rFonts w:ascii="Arial" w:hAnsi="Arial" w:cs="Arial" w:eastAsia="Arial"/>
                <w:sz w:val="20"/>
              </w:rPr>
              <w:t>Urine drug test</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Urine pregnancy test</w:t>
            </w:r>
            <w:r>
              <w:rPr>
                <w:rFonts w:ascii="Arial" w:hAnsi="Arial" w:cs="Arial" w:eastAsia="Arial"/>
                <w:sz w:val="20"/>
                <w:vertAlign w:val="superscript"/>
              </w:rPr>
              <w:t>h</w:t>
            </w:r>
          </w:p>
        </w:tc>
        <w:tc>
          <w:tcPr>
            <w:tcW w:w="1925" w:type="dxa"/>
          </w:tcPr>
          <w:p>
            <w:pPr>
              <w:pStyle w:val="TableParagraph"/>
              <w:rPr>
                <w:sz w:val="20"/>
              </w:rPr>
            </w:pP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Serum β-hCG [or hCG] test</w:t>
            </w:r>
            <w:r>
              <w:rPr>
                <w:rFonts w:ascii="Arial" w:hAnsi="Arial" w:cs="Arial" w:eastAsia="Arial"/>
                <w:sz w:val="20"/>
                <w:vertAlign w:val="superscript"/>
              </w:rPr>
              <w:t>h</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Serology (HCVAb, HBsAg)</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PK sampling (plasma)</w:t>
            </w:r>
            <w:r>
              <w:rPr>
                <w:rFonts w:ascii="Arial" w:hAnsi="Arial" w:cs="Arial" w:eastAsia="Arial"/>
                <w:sz w:val="20"/>
                <w:vertAlign w:val="superscript"/>
              </w:rPr>
              <w:t>i</w:t>
            </w:r>
          </w:p>
        </w:tc>
        <w:tc>
          <w:tcPr>
            <w:tcW w:w="1925" w:type="dxa"/>
          </w:tcPr>
          <w:p>
            <w:pPr>
              <w:pStyle w:val="TableParagraph"/>
              <w:rPr>
                <w:sz w:val="20"/>
              </w:rPr>
            </w:pP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rPr>
                <w:sz w:val="20"/>
              </w:rPr>
            </w:pPr>
          </w:p>
        </w:tc>
      </w:tr>
    </w:tbl>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after="0"/>
        <w:rPr>
          <w:sz w:val="20"/>
        </w:rPr>
        <w:sectPr>
          <w:headerReference w:type="default" r:id="rId8"/>
          <w:footerReference w:type="default" r:id="rId9"/>
          <w:pgSz w:w="15840" w:h="12240" w:orient="landscape"/>
          <w:pgMar w:header="953" w:footer="1220" w:top="1200" w:bottom="1420" w:left="1280" w:right="1320"/>
          <w:pgNumType w:start="45"/>
        </w:sect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rPr>
          <w:rFonts w:ascii="Arial"/>
          <w:b/>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rFonts w:ascii="Arial"/>
          <w:b/>
          <w:sz w:val="27"/>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1599" w:val="left" w:leader="none"/>
        </w:tabs>
        <w:spacing w:before="92"/>
        <w:ind w:left="160" w:right="0" w:firstLine="0"/>
        <w:jc w:val="left"/>
        <w:rPr>
          <w:rFonts w:ascii="Arial"/>
          <w:b/>
          <w:sz w:val="24"/>
        </w:rPr>
      </w:pPr>
      <w:r>
        <w:rPr>
          <w:rFonts w:ascii="Arial" w:hAnsi="Arial" w:cs="Arial" w:eastAsia="Arial"/>
          <w:b/>
          <w:sz w:val="24"/>
        </w:rPr>
        <w:t>Table</w:t>
      </w:r>
      <w:r>
        <w:rPr>
          <w:rFonts w:ascii="Arial" w:hAnsi="Arial" w:cs="Arial" w:eastAsia="Arial"/>
          <w:b/>
          <w:spacing w:val="1"/>
          <w:sz w:val="24"/>
        </w:rPr>
        <w:t xml:space="preserve">  </w:t>
      </w:r>
      <w:r>
        <w:rPr>
          <w:rFonts w:ascii="Arial" w:hAnsi="Arial" w:cs="Arial" w:eastAsia="Arial"/>
          <w:b/>
          <w:sz w:val="24"/>
        </w:rPr>
        <w:t xml:space="preserve">  5</w:t>
        <w:tab/>
        <w:t>Schedule of Procedures/Assessments in Study</w:t>
      </w:r>
      <w:r>
        <w:rPr>
          <w:rFonts w:ascii="Arial" w:hAnsi="Arial" w:cs="Arial" w:eastAsia="Arial"/>
          <w:b/>
          <w:spacing w:val="-2"/>
          <w:sz w:val="24"/>
        </w:rPr>
        <w:t xml:space="preserve">  </w:t>
      </w:r>
      <w:r>
        <w:rPr>
          <w:rFonts w:ascii="Arial" w:hAnsi="Arial" w:cs="Arial" w:eastAsia="Arial"/>
          <w:b/>
          <w:sz w:val="24"/>
        </w:rPr>
        <w:t xml:space="preserve">  E2730-A001-201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rFonts w:ascii="Arial"/>
          <w:b/>
          <w:sz w:val="10"/>
        </w:rPr>
      </w:pPr>
    </w:p>
    <w:tbl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35"/>
        <w:gridCol w:w="1925"/>
        <w:gridCol w:w="1162"/>
        <w:gridCol w:w="1162"/>
        <w:gridCol w:w="1160"/>
        <w:gridCol w:w="1714"/>
        <w:gridCol w:w="2360"/>
      </w:tblGrid>
      <w:tr>
        <w:trPr>
          <w:trHeight w:val="350" w:hRule="atLeast"/>
        </w:trPr>
        <w:tc>
          <w:tcPr>
            <w:tcW w:w="3535" w:type="dxa"/>
          </w:tcPr>
          <w:p>
            <w:pPr>
              <w:pStyle w:val="TableParagraph"/>
              <w:spacing w:before="58"/>
              <w:ind w:left="107"/>
              <w:rPr>
                <w:b/>
                <w:sz w:val="20"/>
              </w:rPr>
            </w:pPr>
            <w:r>
              <w:rPr>
                <w:rFonts w:ascii="Arial" w:hAnsi="Arial" w:cs="Arial" w:eastAsia="Arial"/>
                <w:b/>
                <w:sz w:val="20"/>
              </w:rPr>
              <w:t>Phase</w:t>
            </w:r>
          </w:p>
        </w:tc>
        <w:tc>
          <w:tcPr>
            <w:tcW w:w="1925" w:type="dxa"/>
          </w:tcPr>
          <w:p>
            <w:pPr>
              <w:pStyle w:val="TableParagraph"/>
              <w:spacing w:before="58"/>
              <w:ind w:left="163" w:right="155"/>
              <w:jc w:val="center"/>
              <w:rPr>
                <w:b/>
                <w:sz w:val="20"/>
              </w:rPr>
            </w:pPr>
            <w:r>
              <w:rPr>
                <w:rFonts w:ascii="Arial" w:hAnsi="Arial" w:cs="Arial" w:eastAsia="Arial"/>
                <w:b/>
                <w:sz w:val="20"/>
              </w:rPr>
              <w:t>Prerandomization</w:t>
            </w:r>
          </w:p>
        </w:tc>
        <w:tc>
          <w:tcPr>
            <w:tcW w:w="5198" w:type="dxa"/>
            <w:gridSpan w:val="4"/>
          </w:tcPr>
          <w:p>
            <w:pPr>
              <w:pStyle w:val="TableParagraph"/>
              <w:spacing w:before="58"/>
              <w:ind w:left="1920" w:right="1915"/>
              <w:jc w:val="center"/>
              <w:rPr>
                <w:b/>
                <w:sz w:val="20"/>
              </w:rPr>
            </w:pPr>
            <w:r>
              <w:rPr>
                <w:rFonts w:ascii="Arial" w:hAnsi="Arial" w:cs="Arial" w:eastAsia="Arial"/>
                <w:b/>
                <w:sz w:val="20"/>
              </w:rPr>
              <w:t>Randomization</w:t>
            </w:r>
          </w:p>
        </w:tc>
        <w:tc>
          <w:tcPr>
            <w:tcW w:w="2360" w:type="dxa"/>
            <w:vMerge w:val="restart"/>
          </w:tcPr>
          <w:p>
            <w:pPr>
              <w:pStyle w:val="TableParagraph"/>
              <w:rPr>
                <w:rFonts w:ascii="Arial"/>
                <w:b/>
                <w:sz w:val="22"/>
              </w:rPr>
            </w:pPr>
          </w:p>
          <w:p>
            <w:pPr>
              <w:pStyle w:val="TableParagraph"/>
              <w:rPr>
                <w:rFonts w:ascii="Arial"/>
                <w:b/>
                <w:sz w:val="22"/>
              </w:rPr>
            </w:pPr>
          </w:p>
          <w:p>
            <w:pPr>
              <w:pStyle w:val="TableParagraph"/>
              <w:spacing w:before="142"/>
              <w:ind w:left="626"/>
              <w:rPr>
                <w:b/>
                <w:sz w:val="20"/>
              </w:rPr>
            </w:pPr>
            <w:r>
              <w:rPr>
                <w:rFonts w:ascii="Arial" w:hAnsi="Arial" w:cs="Arial" w:eastAsia="Arial"/>
                <w:b/>
                <w:sz w:val="20"/>
              </w:rPr>
              <w:t>Unscheduled</w:t>
            </w:r>
          </w:p>
        </w:tc>
      </w:tr>
      <w:tr>
        <w:trPr>
          <w:trHeight w:val="580" w:hRule="atLeast"/>
        </w:trPr>
        <w:tc>
          <w:tcPr>
            <w:tcW w:w="3535" w:type="dxa"/>
          </w:tcPr>
          <w:p>
            <w:pPr>
              <w:pStyle w:val="TableParagraph"/>
              <w:rPr>
                <w:rFonts w:ascii="Arial"/>
                <w:b/>
                <w:sz w:val="25"/>
              </w:rPr>
            </w:pPr>
          </w:p>
          <w:p>
            <w:pPr>
              <w:pStyle w:val="TableParagraph"/>
              <w:spacing w:before="1"/>
              <w:ind w:left="107"/>
              <w:rPr>
                <w:b/>
                <w:sz w:val="20"/>
              </w:rPr>
            </w:pPr>
            <w:r>
              <w:rPr>
                <w:rFonts w:ascii="Arial" w:hAnsi="Arial" w:cs="Arial" w:eastAsia="Arial"/>
                <w:b/>
                <w:sz w:val="20"/>
              </w:rPr>
              <w:t>Period</w:t>
            </w:r>
          </w:p>
        </w:tc>
        <w:tc>
          <w:tcPr>
            <w:tcW w:w="1925" w:type="dxa"/>
          </w:tcPr>
          <w:p>
            <w:pPr>
              <w:pStyle w:val="TableParagraph"/>
              <w:rPr>
                <w:rFonts w:ascii="Arial"/>
                <w:b/>
                <w:sz w:val="25"/>
              </w:rPr>
            </w:pPr>
          </w:p>
          <w:p>
            <w:pPr>
              <w:pStyle w:val="TableParagraph"/>
              <w:spacing w:before="1"/>
              <w:ind w:left="160" w:right="155"/>
              <w:jc w:val="center"/>
              <w:rPr>
                <w:b/>
                <w:sz w:val="20"/>
              </w:rPr>
            </w:pPr>
            <w:r>
              <w:rPr>
                <w:rFonts w:ascii="Arial" w:hAnsi="Arial" w:cs="Arial" w:eastAsia="Arial"/>
                <w:b/>
                <w:sz w:val="20"/>
              </w:rPr>
              <w:t>Screening</w:t>
            </w:r>
          </w:p>
        </w:tc>
        <w:tc>
          <w:tcPr>
            <w:tcW w:w="1162" w:type="dxa"/>
          </w:tcPr>
          <w:p>
            <w:pPr>
              <w:pStyle w:val="TableParagraph"/>
              <w:spacing w:before="58"/>
              <w:ind w:left="220" w:hanging="96"/>
              <w:rPr>
                <w:b/>
                <w:sz w:val="20"/>
              </w:rPr>
            </w:pPr>
            <w:r>
              <w:rPr>
                <w:rFonts w:ascii="Arial" w:hAnsi="Arial" w:cs="Arial" w:eastAsia="Arial"/>
                <w:b/>
                <w:w w:val="95"/>
                <w:sz w:val="20"/>
              </w:rPr>
              <w:t>Treatment </w:t>
            </w:r>
            <w:r>
              <w:rPr>
                <w:rFonts w:ascii="Arial" w:hAnsi="Arial" w:cs="Arial" w:eastAsia="Arial"/>
                <w:b/>
                <w:sz w:val="20"/>
              </w:rPr>
              <w:t>Period 1</w:t>
            </w:r>
          </w:p>
        </w:tc>
        <w:tc>
          <w:tcPr>
            <w:tcW w:w="1162" w:type="dxa"/>
          </w:tcPr>
          <w:p>
            <w:pPr>
              <w:pStyle w:val="TableParagraph"/>
              <w:spacing w:before="58"/>
              <w:ind w:left="220" w:hanging="96"/>
              <w:rPr>
                <w:b/>
                <w:sz w:val="20"/>
              </w:rPr>
            </w:pPr>
            <w:r>
              <w:rPr>
                <w:rFonts w:ascii="Arial" w:hAnsi="Arial" w:cs="Arial" w:eastAsia="Arial"/>
                <w:b/>
                <w:w w:val="95"/>
                <w:sz w:val="20"/>
              </w:rPr>
              <w:t>Treatment </w:t>
            </w:r>
            <w:r>
              <w:rPr>
                <w:rFonts w:ascii="Arial" w:hAnsi="Arial" w:cs="Arial" w:eastAsia="Arial"/>
                <w:b/>
                <w:sz w:val="20"/>
              </w:rPr>
              <w:t>Period 2</w:t>
            </w:r>
          </w:p>
        </w:tc>
        <w:tc>
          <w:tcPr>
            <w:tcW w:w="1160" w:type="dxa"/>
          </w:tcPr>
          <w:p>
            <w:pPr>
              <w:pStyle w:val="TableParagraph"/>
              <w:spacing w:before="58"/>
              <w:ind w:left="219" w:hanging="96"/>
              <w:rPr>
                <w:b/>
                <w:sz w:val="20"/>
              </w:rPr>
            </w:pPr>
            <w:r>
              <w:rPr>
                <w:rFonts w:ascii="Arial" w:hAnsi="Arial" w:cs="Arial" w:eastAsia="Arial"/>
                <w:b/>
                <w:w w:val="95"/>
                <w:sz w:val="20"/>
              </w:rPr>
              <w:t>Treatment </w:t>
            </w:r>
            <w:r>
              <w:rPr>
                <w:rFonts w:ascii="Arial" w:hAnsi="Arial" w:cs="Arial" w:eastAsia="Arial"/>
                <w:b/>
                <w:sz w:val="20"/>
              </w:rPr>
              <w:t>Period 3</w:t>
            </w:r>
          </w:p>
        </w:tc>
        <w:tc>
          <w:tcPr>
            <w:tcW w:w="1714" w:type="dxa"/>
          </w:tcPr>
          <w:p>
            <w:pPr>
              <w:pStyle w:val="TableParagraph"/>
              <w:spacing w:before="58"/>
              <w:ind w:left="142" w:hanging="5"/>
              <w:rPr>
                <w:b/>
                <w:sz w:val="20"/>
              </w:rPr>
            </w:pPr>
            <w:r>
              <w:rPr>
                <w:rFonts w:ascii="Arial" w:hAnsi="Arial" w:cs="Arial" w:eastAsia="Arial"/>
                <w:b/>
                <w:sz w:val="20"/>
              </w:rPr>
              <w:t>Follow-up /Early Discontinuation</w:t>
            </w:r>
            <w:r>
              <w:rPr>
                <w:rFonts w:ascii="Arial" w:hAnsi="Arial" w:cs="Arial" w:eastAsia="Arial"/>
                <w:b/>
                <w:sz w:val="20"/>
                <w:vertAlign w:val="superscript"/>
              </w:rPr>
              <w:t>a</w:t>
            </w:r>
          </w:p>
        </w:tc>
        <w:tc>
          <w:tcPr>
            <w:tcW w:w="2360" w:type="dxa"/>
            <w:vMerge/>
            <w:tcBorders>
              <w:top w:val="nil"/>
            </w:tcBorders>
          </w:tcPr>
          <w:p>
            <w:pPr>
              <w:rPr>
                <w:sz w:val="2"/>
                <w:szCs w:val="2"/>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Visit</w:t>
            </w:r>
          </w:p>
        </w:tc>
        <w:tc>
          <w:tcPr>
            <w:tcW w:w="1925" w:type="dxa"/>
          </w:tcPr>
          <w:p>
            <w:pPr>
              <w:pStyle w:val="TableParagraph"/>
              <w:spacing w:before="58"/>
              <w:ind w:left="8"/>
              <w:jc w:val="center"/>
              <w:rPr>
                <w:b/>
                <w:sz w:val="20"/>
              </w:rPr>
            </w:pPr>
            <w:r>
              <w:rPr>
                <w:rFonts w:ascii="Arial" w:hAnsi="Arial" w:cs="Arial" w:eastAsia="Arial"/>
                <w:b/>
                <w:w w:val="99"/>
                <w:sz w:val="20"/>
              </w:rPr>
              <w:t>1</w:t>
            </w:r>
          </w:p>
        </w:tc>
        <w:tc>
          <w:tcPr>
            <w:tcW w:w="1162" w:type="dxa"/>
          </w:tcPr>
          <w:p>
            <w:pPr>
              <w:pStyle w:val="TableParagraph"/>
              <w:spacing w:before="58"/>
              <w:ind w:left="8"/>
              <w:jc w:val="center"/>
              <w:rPr>
                <w:b/>
                <w:sz w:val="20"/>
              </w:rPr>
            </w:pPr>
            <w:r>
              <w:rPr>
                <w:rFonts w:ascii="Arial" w:hAnsi="Arial" w:cs="Arial" w:eastAsia="Arial"/>
                <w:b/>
                <w:w w:val="99"/>
                <w:sz w:val="20"/>
              </w:rPr>
              <w:t>2</w:t>
            </w:r>
          </w:p>
        </w:tc>
        <w:tc>
          <w:tcPr>
            <w:tcW w:w="1162" w:type="dxa"/>
          </w:tcPr>
          <w:p>
            <w:pPr>
              <w:pStyle w:val="TableParagraph"/>
              <w:spacing w:before="58"/>
              <w:ind w:left="7"/>
              <w:jc w:val="center"/>
              <w:rPr>
                <w:b/>
                <w:sz w:val="20"/>
              </w:rPr>
            </w:pPr>
            <w:r>
              <w:rPr>
                <w:rFonts w:ascii="Arial" w:hAnsi="Arial" w:cs="Arial" w:eastAsia="Arial"/>
                <w:b/>
                <w:w w:val="99"/>
                <w:sz w:val="20"/>
              </w:rPr>
              <w:t>3</w:t>
            </w:r>
          </w:p>
        </w:tc>
        <w:tc>
          <w:tcPr>
            <w:tcW w:w="1160" w:type="dxa"/>
          </w:tcPr>
          <w:p>
            <w:pPr>
              <w:pStyle w:val="TableParagraph"/>
              <w:spacing w:before="58"/>
              <w:ind w:left="8"/>
              <w:jc w:val="center"/>
              <w:rPr>
                <w:b/>
                <w:sz w:val="20"/>
              </w:rPr>
            </w:pPr>
            <w:r>
              <w:rPr>
                <w:rFonts w:ascii="Arial" w:hAnsi="Arial" w:cs="Arial" w:eastAsia="Arial"/>
                <w:b/>
                <w:w w:val="99"/>
                <w:sz w:val="20"/>
              </w:rPr>
              <w:t>4</w:t>
            </w:r>
          </w:p>
        </w:tc>
        <w:tc>
          <w:tcPr>
            <w:tcW w:w="1714" w:type="dxa"/>
          </w:tcPr>
          <w:p>
            <w:pPr>
              <w:pStyle w:val="TableParagraph"/>
              <w:spacing w:before="58"/>
              <w:jc w:val="center"/>
              <w:rPr>
                <w:b/>
                <w:sz w:val="20"/>
              </w:rPr>
            </w:pPr>
            <w:r>
              <w:rPr>
                <w:rFonts w:ascii="Arial" w:hAnsi="Arial" w:cs="Arial" w:eastAsia="Arial"/>
                <w:b/>
                <w:w w:val="99"/>
                <w:sz w:val="20"/>
              </w:rPr>
              <w:t>5</w:t>
            </w:r>
          </w:p>
        </w:tc>
        <w:tc>
          <w:tcPr>
            <w:tcW w:w="2360" w:type="dxa"/>
          </w:tcPr>
          <w:p>
            <w:pPr>
              <w:pStyle w:val="TableParagraph"/>
              <w:rPr>
                <w:sz w:val="18"/>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Study Day</w:t>
            </w:r>
          </w:p>
        </w:tc>
        <w:tc>
          <w:tcPr>
            <w:tcW w:w="1925" w:type="dxa"/>
          </w:tcPr>
          <w:p>
            <w:pPr>
              <w:pStyle w:val="TableParagraph"/>
              <w:spacing w:before="58"/>
              <w:ind w:left="163" w:right="152"/>
              <w:jc w:val="center"/>
              <w:rPr>
                <w:b/>
                <w:sz w:val="20"/>
              </w:rPr>
            </w:pPr>
            <w:r>
              <w:rPr>
                <w:rFonts w:ascii="Arial" w:hAnsi="Arial" w:cs="Arial" w:eastAsia="Arial"/>
                <w:b/>
                <w:sz w:val="20"/>
              </w:rPr>
              <w:t>-21 to -1</w:t>
            </w:r>
          </w:p>
        </w:tc>
        <w:tc>
          <w:tcPr>
            <w:tcW w:w="1162" w:type="dxa"/>
          </w:tcPr>
          <w:p>
            <w:pPr>
              <w:pStyle w:val="TableParagraph"/>
              <w:spacing w:before="58"/>
              <w:ind w:left="8"/>
              <w:jc w:val="center"/>
              <w:rPr>
                <w:b/>
                <w:sz w:val="20"/>
              </w:rPr>
            </w:pPr>
            <w:r>
              <w:rPr>
                <w:rFonts w:ascii="Arial" w:hAnsi="Arial" w:cs="Arial" w:eastAsia="Arial"/>
                <w:b/>
                <w:w w:val="99"/>
                <w:sz w:val="20"/>
              </w:rPr>
              <w:t>1</w:t>
            </w:r>
          </w:p>
        </w:tc>
        <w:tc>
          <w:tcPr>
            <w:tcW w:w="1162" w:type="dxa"/>
          </w:tcPr>
          <w:p>
            <w:pPr>
              <w:pStyle w:val="TableParagraph"/>
              <w:spacing w:before="58"/>
              <w:ind w:left="355" w:right="347"/>
              <w:jc w:val="center"/>
              <w:rPr>
                <w:b/>
                <w:sz w:val="20"/>
              </w:rPr>
            </w:pPr>
            <w:r>
              <w:rPr>
                <w:rFonts w:ascii="Arial" w:hAnsi="Arial" w:cs="Arial" w:eastAsia="Arial"/>
                <w:b/>
                <w:sz w:val="20"/>
              </w:rPr>
              <w:t>22±3</w:t>
            </w:r>
          </w:p>
        </w:tc>
        <w:tc>
          <w:tcPr>
            <w:tcW w:w="1160" w:type="dxa"/>
          </w:tcPr>
          <w:p>
            <w:pPr>
              <w:pStyle w:val="TableParagraph"/>
              <w:spacing w:before="58"/>
              <w:ind w:left="354" w:right="345"/>
              <w:jc w:val="center"/>
              <w:rPr>
                <w:b/>
                <w:sz w:val="20"/>
              </w:rPr>
            </w:pPr>
            <w:r>
              <w:rPr>
                <w:rFonts w:ascii="Arial" w:hAnsi="Arial" w:cs="Arial" w:eastAsia="Arial"/>
                <w:b/>
                <w:sz w:val="20"/>
              </w:rPr>
              <w:t>43±3</w:t>
            </w:r>
          </w:p>
        </w:tc>
        <w:tc>
          <w:tcPr>
            <w:tcW w:w="1714" w:type="dxa"/>
          </w:tcPr>
          <w:p>
            <w:pPr>
              <w:pStyle w:val="TableParagraph"/>
              <w:spacing w:before="58"/>
              <w:ind w:left="629" w:right="624"/>
              <w:jc w:val="center"/>
              <w:rPr>
                <w:b/>
                <w:sz w:val="20"/>
              </w:rPr>
            </w:pPr>
            <w:r>
              <w:rPr>
                <w:rFonts w:ascii="Arial" w:hAnsi="Arial" w:cs="Arial" w:eastAsia="Arial"/>
                <w:b/>
                <w:sz w:val="20"/>
              </w:rPr>
              <w:t>64±3</w:t>
            </w:r>
          </w:p>
        </w:tc>
        <w:tc>
          <w:tcPr>
            <w:tcW w:w="2360" w:type="dxa"/>
          </w:tcPr>
          <w:p>
            <w:pPr>
              <w:pStyle w:val="TableParagraph"/>
              <w:rPr>
                <w:sz w:val="18"/>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Procedures/Assessments</w:t>
            </w:r>
          </w:p>
        </w:tc>
        <w:tc>
          <w:tcPr>
            <w:tcW w:w="1925" w:type="dxa"/>
          </w:tcPr>
          <w:p>
            <w:pPr>
              <w:pStyle w:val="TableParagraph"/>
              <w:rPr>
                <w:sz w:val="18"/>
              </w:rPr>
            </w:pPr>
          </w:p>
        </w:tc>
        <w:tc>
          <w:tcPr>
            <w:tcW w:w="1162" w:type="dxa"/>
          </w:tcPr>
          <w:p>
            <w:pPr>
              <w:pStyle w:val="TableParagraph"/>
              <w:rPr>
                <w:sz w:val="18"/>
              </w:rPr>
            </w:pPr>
          </w:p>
        </w:tc>
        <w:tc>
          <w:tcPr>
            <w:tcW w:w="1162" w:type="dxa"/>
          </w:tcPr>
          <w:p>
            <w:pPr>
              <w:pStyle w:val="TableParagraph"/>
              <w:rPr>
                <w:sz w:val="18"/>
              </w:rPr>
            </w:pPr>
          </w:p>
        </w:tc>
        <w:tc>
          <w:tcPr>
            <w:tcW w:w="1160" w:type="dxa"/>
          </w:tcPr>
          <w:p>
            <w:pPr>
              <w:pStyle w:val="TableParagraph"/>
              <w:rPr>
                <w:sz w:val="18"/>
              </w:rPr>
            </w:pPr>
          </w:p>
        </w:tc>
        <w:tc>
          <w:tcPr>
            <w:tcW w:w="1714" w:type="dxa"/>
          </w:tcPr>
          <w:p>
            <w:pPr>
              <w:pStyle w:val="TableParagraph"/>
              <w:rPr>
                <w:sz w:val="18"/>
              </w:rPr>
            </w:pPr>
          </w:p>
        </w:tc>
        <w:tc>
          <w:tcPr>
            <w:tcW w:w="2360" w:type="dxa"/>
          </w:tcPr>
          <w:p>
            <w:pPr>
              <w:pStyle w:val="TableParagraph"/>
              <w:rPr>
                <w:sz w:val="18"/>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PGx sampling</w:t>
            </w:r>
            <w:r>
              <w:rPr>
                <w:rFonts w:ascii="Arial" w:hAnsi="Arial" w:cs="Arial" w:eastAsia="Arial"/>
                <w:sz w:val="20"/>
                <w:vertAlign w:val="superscript"/>
              </w:rPr>
              <w:t>j</w:t>
            </w:r>
          </w:p>
        </w:tc>
        <w:tc>
          <w:tcPr>
            <w:tcW w:w="1925" w:type="dxa"/>
          </w:tcPr>
          <w:p>
            <w:pPr>
              <w:pStyle w:val="TableParagraph"/>
              <w:rPr>
                <w:sz w:val="18"/>
              </w:rPr>
            </w:pPr>
          </w:p>
        </w:tc>
        <w:tc>
          <w:tcPr>
            <w:tcW w:w="1162"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rPr>
                <w:sz w:val="18"/>
              </w:rPr>
            </w:pPr>
          </w:p>
        </w:tc>
        <w:tc>
          <w:tcPr>
            <w:tcW w:w="1160" w:type="dxa"/>
          </w:tcPr>
          <w:p>
            <w:pPr>
              <w:pStyle w:val="TableParagraph"/>
              <w:rPr>
                <w:sz w:val="18"/>
              </w:rPr>
            </w:pPr>
          </w:p>
        </w:tc>
        <w:tc>
          <w:tcPr>
            <w:tcW w:w="1714" w:type="dxa"/>
          </w:tcPr>
          <w:p>
            <w:pPr>
              <w:pStyle w:val="TableParagraph"/>
              <w:rPr>
                <w:sz w:val="18"/>
              </w:rPr>
            </w:pPr>
          </w:p>
        </w:tc>
        <w:tc>
          <w:tcPr>
            <w:tcW w:w="2360" w:type="dxa"/>
          </w:tcPr>
          <w:p>
            <w:pPr>
              <w:pStyle w:val="TableParagraph"/>
              <w:rPr>
                <w:sz w:val="18"/>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C-SSRS</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rPr>
                <w:sz w:val="18"/>
              </w:rPr>
            </w:pPr>
          </w:p>
        </w:tc>
      </w:tr>
      <w:tr>
        <w:trPr>
          <w:trHeight w:val="386" w:hRule="atLeast"/>
        </w:trPr>
        <w:tc>
          <w:tcPr>
            <w:tcW w:w="3535" w:type="dxa"/>
          </w:tcPr>
          <w:p>
            <w:pPr>
              <w:pStyle w:val="TableParagraph"/>
              <w:spacing w:before="70"/>
              <w:ind w:left="107"/>
              <w:rPr>
                <w:sz w:val="20"/>
              </w:rPr>
            </w:pPr>
            <w:r>
              <w:rPr>
                <w:rFonts w:ascii="Arial" w:hAnsi="Arial" w:cs="Arial" w:eastAsia="Arial"/>
                <w:sz w:val="20"/>
              </w:rPr>
              <w:t>EEG-IPS Assessment</w:t>
            </w:r>
            <w:r>
              <w:rPr>
                <w:rFonts w:ascii="Arial" w:hAnsi="Arial" w:cs="Arial" w:eastAsia="Arial"/>
                <w:sz w:val="20"/>
                <w:vertAlign w:val="superscript"/>
              </w:rPr>
              <w:t>k</w:t>
            </w:r>
          </w:p>
        </w:tc>
        <w:tc>
          <w:tcPr>
            <w:tcW w:w="1925" w:type="dxa"/>
          </w:tcPr>
          <w:p>
            <w:pPr>
              <w:pStyle w:val="TableParagraph"/>
              <w:spacing w:before="44"/>
              <w:ind w:left="162" w:right="155"/>
              <w:jc w:val="center"/>
              <w:rPr>
                <w:sz w:val="13"/>
              </w:rPr>
            </w:pPr>
            <w:r>
              <w:rPr>
                <w:rFonts w:ascii="Arial" w:hAnsi="Arial" w:cs="Arial" w:eastAsia="Arial"/>
                <w:position w:val="-8"/>
                <w:sz w:val="20"/>
              </w:rPr>
              <w:t>X</w:t>
            </w:r>
            <w:r>
              <w:rPr>
                <w:rFonts w:ascii="Arial" w:hAnsi="Arial" w:cs="Arial" w:eastAsia="Arial"/>
                <w:sz w:val="13"/>
              </w:rPr>
              <w:t>l</w:t>
            </w:r>
          </w:p>
        </w:tc>
        <w:tc>
          <w:tcPr>
            <w:tcW w:w="1162" w:type="dxa"/>
          </w:tcPr>
          <w:p>
            <w:pPr>
              <w:pStyle w:val="TableParagraph"/>
              <w:spacing w:before="44"/>
              <w:ind w:left="355" w:right="346"/>
              <w:jc w:val="center"/>
              <w:rPr>
                <w:sz w:val="13"/>
              </w:rPr>
            </w:pPr>
            <w:r>
              <w:rPr>
                <w:rFonts w:ascii="Arial" w:hAnsi="Arial" w:cs="Arial" w:eastAsia="Arial"/>
                <w:position w:val="-8"/>
                <w:sz w:val="20"/>
              </w:rPr>
              <w:t>X</w:t>
            </w:r>
            <w:r>
              <w:rPr>
                <w:rFonts w:ascii="Arial" w:hAnsi="Arial" w:cs="Arial" w:eastAsia="Arial"/>
                <w:sz w:val="13"/>
              </w:rPr>
              <w:t>m</w:t>
            </w:r>
          </w:p>
        </w:tc>
        <w:tc>
          <w:tcPr>
            <w:tcW w:w="1162" w:type="dxa"/>
          </w:tcPr>
          <w:p>
            <w:pPr>
              <w:pStyle w:val="TableParagraph"/>
              <w:spacing w:before="44"/>
              <w:ind w:left="355" w:right="347"/>
              <w:jc w:val="center"/>
              <w:rPr>
                <w:sz w:val="13"/>
              </w:rPr>
            </w:pPr>
            <w:r>
              <w:rPr>
                <w:rFonts w:ascii="Arial" w:hAnsi="Arial" w:cs="Arial" w:eastAsia="Arial"/>
                <w:position w:val="-8"/>
                <w:sz w:val="20"/>
              </w:rPr>
              <w:t>X</w:t>
            </w:r>
            <w:r>
              <w:rPr>
                <w:rFonts w:ascii="Arial" w:hAnsi="Arial" w:cs="Arial" w:eastAsia="Arial"/>
                <w:sz w:val="13"/>
              </w:rPr>
              <w:t>m</w:t>
            </w:r>
          </w:p>
        </w:tc>
        <w:tc>
          <w:tcPr>
            <w:tcW w:w="1160" w:type="dxa"/>
          </w:tcPr>
          <w:p>
            <w:pPr>
              <w:pStyle w:val="TableParagraph"/>
              <w:spacing w:before="27"/>
              <w:ind w:left="354" w:right="345"/>
              <w:jc w:val="center"/>
              <w:rPr>
                <w:sz w:val="13"/>
              </w:rPr>
            </w:pPr>
            <w:r>
              <w:rPr>
                <w:rFonts w:ascii="Arial" w:hAnsi="Arial" w:cs="Arial" w:eastAsia="Arial"/>
                <w:position w:val="-8"/>
                <w:sz w:val="20"/>
              </w:rPr>
              <w:t>X</w:t>
            </w:r>
            <w:r>
              <w:rPr>
                <w:rFonts w:ascii="Arial" w:hAnsi="Arial" w:cs="Arial" w:eastAsia="Arial"/>
                <w:sz w:val="13"/>
              </w:rPr>
              <w:t>m</w:t>
            </w:r>
          </w:p>
        </w:tc>
        <w:tc>
          <w:tcPr>
            <w:tcW w:w="1714" w:type="dxa"/>
          </w:tcPr>
          <w:p>
            <w:pPr>
              <w:pStyle w:val="TableParagraph"/>
              <w:rPr>
                <w:sz w:val="18"/>
              </w:rPr>
            </w:pPr>
          </w:p>
        </w:tc>
        <w:tc>
          <w:tcPr>
            <w:tcW w:w="2360" w:type="dxa"/>
          </w:tcPr>
          <w:p>
            <w:pPr>
              <w:pStyle w:val="TableParagraph"/>
              <w:rPr>
                <w:sz w:val="18"/>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Bond and Lader VAS</w:t>
            </w:r>
            <w:r>
              <w:rPr>
                <w:rFonts w:ascii="Arial" w:hAnsi="Arial" w:cs="Arial" w:eastAsia="Arial"/>
                <w:sz w:val="20"/>
                <w:vertAlign w:val="superscript"/>
              </w:rPr>
              <w:t>k,n</w:t>
            </w:r>
          </w:p>
        </w:tc>
        <w:tc>
          <w:tcPr>
            <w:tcW w:w="1925" w:type="dxa"/>
          </w:tcPr>
          <w:p>
            <w:pPr>
              <w:pStyle w:val="TableParagraph"/>
              <w:rPr>
                <w:sz w:val="18"/>
              </w:rPr>
            </w:pPr>
          </w:p>
        </w:tc>
        <w:tc>
          <w:tcPr>
            <w:tcW w:w="1162"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rPr>
                <w:sz w:val="18"/>
              </w:rPr>
            </w:pPr>
          </w:p>
        </w:tc>
        <w:tc>
          <w:tcPr>
            <w:tcW w:w="2360" w:type="dxa"/>
          </w:tcPr>
          <w:p>
            <w:pPr>
              <w:pStyle w:val="TableParagraph"/>
              <w:rPr>
                <w:sz w:val="18"/>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Administer study drug</w:t>
            </w:r>
          </w:p>
        </w:tc>
        <w:tc>
          <w:tcPr>
            <w:tcW w:w="1925" w:type="dxa"/>
          </w:tcPr>
          <w:p>
            <w:pPr>
              <w:pStyle w:val="TableParagraph"/>
              <w:rPr>
                <w:sz w:val="18"/>
              </w:rPr>
            </w:pPr>
          </w:p>
        </w:tc>
        <w:tc>
          <w:tcPr>
            <w:tcW w:w="1162"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rPr>
                <w:sz w:val="18"/>
              </w:rPr>
            </w:pPr>
          </w:p>
        </w:tc>
        <w:tc>
          <w:tcPr>
            <w:tcW w:w="2360" w:type="dxa"/>
          </w:tcPr>
          <w:p>
            <w:pPr>
              <w:pStyle w:val="TableParagraph"/>
              <w:rPr>
                <w:sz w:val="18"/>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Prior and concomitant medication(s)</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spacing w:before="53"/>
              <w:ind w:left="1104"/>
              <w:rPr>
                <w:sz w:val="20"/>
              </w:rPr>
            </w:pPr>
            <w:r>
              <w:rPr>
                <w:rFonts w:ascii="Arial" w:hAnsi="Arial" w:cs="Arial" w:eastAsia="Arial"/>
                <w:w w:val="99"/>
                <w:sz w:val="20"/>
              </w:rPr>
              <w:t>X</w:t>
            </w:r>
          </w:p>
        </w:tc>
      </w:tr>
      <w:tr>
        <w:trPr>
          <w:trHeight w:val="350" w:hRule="atLeast"/>
        </w:trPr>
        <w:tc>
          <w:tcPr>
            <w:tcW w:w="3535" w:type="dxa"/>
          </w:tcPr>
          <w:p>
            <w:pPr>
              <w:pStyle w:val="TableParagraph"/>
              <w:spacing w:before="53"/>
              <w:ind w:left="107"/>
              <w:rPr>
                <w:sz w:val="20"/>
              </w:rPr>
            </w:pPr>
            <w:r>
              <w:rPr>
                <w:rFonts w:ascii="Arial" w:hAnsi="Arial" w:cs="Arial" w:eastAsia="Arial"/>
                <w:sz w:val="20"/>
              </w:rPr>
              <w:t>Adverse events</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spacing w:before="53"/>
              <w:ind w:left="1104"/>
              <w:rPr>
                <w:sz w:val="20"/>
              </w:rPr>
            </w:pPr>
            <w:r>
              <w:rPr>
                <w:rFonts w:ascii="Arial" w:hAnsi="Arial" w:cs="Arial" w:eastAsia="Arial"/>
                <w:w w:val="99"/>
                <w:sz w:val="20"/>
              </w:rPr>
              <w:t>X</w:t>
            </w:r>
          </w:p>
        </w:tc>
      </w:tr>
    </w:tbl>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before="55"/>
        <w:ind w:left="212" w:right="422" w:firstLine="0"/>
        <w:jc w:val="left"/>
        <w:rPr>
          <w:sz w:val="18"/>
        </w:rPr>
      </w:pPr>
      <w:r>
        <w:rPr>
          <w:rFonts w:ascii="Arial" w:hAnsi="Arial" w:cs="Arial" w:eastAsia="Arial"/>
          <w:sz w:val="18"/>
        </w:rPr>
        <w:t>ß-hCG = beta-human chorionic gonadotropin </w:t>
      </w:r>
      <w:r>
        <w:rPr>
          <w:rFonts w:ascii="Arial" w:hAnsi="Arial" w:cs="Arial" w:eastAsia="Arial"/>
          <w:i/>
          <w:sz w:val="18"/>
        </w:rPr>
        <w:t xml:space="preserve">  (</w:t>
      </w:r>
      <w:r>
        <w:rPr>
          <w:rFonts w:ascii="Arial" w:hAnsi="Arial" w:cs="Arial" w:eastAsia="Arial"/>
          <w:sz w:val="18"/>
        </w:rPr>
        <w:t>or hCG = human chorionic gonadotropin</w:t>
      </w:r>
      <w:r>
        <w:rPr>
          <w:rFonts w:ascii="Arial" w:hAnsi="Arial" w:cs="Arial" w:eastAsia="Arial"/>
          <w:i/>
          <w:sz w:val="18"/>
        </w:rPr>
        <w:t>)</w:t>
      </w:r>
      <w:r>
        <w:rPr>
          <w:rFonts w:ascii="Arial" w:hAnsi="Arial" w:cs="Arial" w:eastAsia="Arial"/>
          <w:sz w:val="18"/>
        </w:rPr>
        <w:t>, BP = blood pressure, C-SSRS = Columbia-Suicide Severity Rating Scale, EEG-IPS= electroencephalogram- intermittent photic stimulation, HBsAg = hepatitis B surface antigen, HCVAb = hepatitis C virus antibody, PGx = pharmacogenomics,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line="206" w:lineRule="exact" w:before="0"/>
        <w:ind w:left="212" w:right="0" w:firstLine="0"/>
        <w:jc w:val="left"/>
        <w:rPr>
          <w:sz w:val="18"/>
        </w:rPr>
      </w:pPr>
      <w:r>
        <w:rPr>
          <w:rFonts w:ascii="Arial" w:hAnsi="Arial" w:cs="Arial" w:eastAsia="Arial"/>
          <w:sz w:val="18"/>
        </w:rPr>
        <w:t>PK = pharmacokinetics, QTc = corrected QT interval, VAS = visual analogue scale.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0"/>
        <w:ind w:left="248" w:right="0" w:firstLine="0"/>
        <w:jc w:val="left"/>
        <w:rPr>
          <w:sz w:val="20"/>
        </w:rPr>
      </w:pPr>
      <w:r>
        <w:rPr>
          <w:rFonts w:ascii="Arial" w:hAnsi="Arial" w:cs="Arial" w:eastAsia="Arial"/>
          <w:sz w:val="18"/>
        </w:rPr>
        <w:t>a:</w:t>
        <w:tab/>
      </w:r>
      <w:r>
        <w:rPr>
          <w:rFonts w:ascii="Arial" w:hAnsi="Arial" w:cs="Arial" w:eastAsia="Arial"/>
          <w:sz w:val="20"/>
        </w:rPr>
        <w:t>To be completed for all subjects, including those who discontinue the study</w:t>
      </w:r>
      <w:r>
        <w:rPr>
          <w:rFonts w:ascii="Arial" w:hAnsi="Arial" w:cs="Arial" w:eastAsia="Arial"/>
          <w:spacing w:val="-3"/>
          <w:sz w:val="20"/>
        </w:rPr>
        <w:t xml:space="preserve">  </w:t>
      </w:r>
      <w:r>
        <w:rPr>
          <w:rFonts w:ascii="Arial" w:hAnsi="Arial" w:cs="Arial" w:eastAsia="Arial"/>
          <w:sz w:val="20"/>
        </w:rPr>
        <w:t xml:space="preserve">  early.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58"/>
        <w:ind w:left="608" w:right="264" w:hanging="360"/>
        <w:jc w:val="left"/>
        <w:rPr>
          <w:sz w:val="20"/>
        </w:rPr>
      </w:pPr>
      <w:r>
        <w:rPr>
          <w:rFonts w:ascii="Arial" w:hAnsi="Arial" w:cs="Arial" w:eastAsia="Arial"/>
          <w:sz w:val="18"/>
        </w:rPr>
        <w:t>b:</w:t>
        <w:tab/>
      </w:r>
      <w:r>
        <w:rPr>
          <w:rFonts w:ascii="Arial" w:hAnsi="Arial" w:cs="Arial" w:eastAsia="Arial"/>
          <w:sz w:val="20"/>
        </w:rPr>
        <w:t>A full physical examination will be carried out at Screening. A brief physical examination may be carried out at other visits, as deemed necessary by the investigator. A full neurological examination will be performed at screening. A brief neurological examination will be performed during each treatment visit (predose and at 4 hours [±30 minutes] postdose), and during the Follow up/Early Discontinuation visit. Clinically significant abnormal findings from the physical or the neurological examinations will be reported as</w:t>
      </w:r>
      <w:r>
        <w:rPr>
          <w:rFonts w:ascii="Arial" w:hAnsi="Arial" w:cs="Arial" w:eastAsia="Arial"/>
          <w:spacing w:val="-2"/>
          <w:sz w:val="20"/>
        </w:rPr>
        <w:t xml:space="preserve">  </w:t>
      </w:r>
      <w:r>
        <w:rPr>
          <w:rFonts w:ascii="Arial" w:hAnsi="Arial" w:cs="Arial" w:eastAsia="Arial"/>
          <w:sz w:val="20"/>
        </w:rPr>
        <w:t xml:space="preserve">  AEs.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1"/>
        <w:ind w:left="608" w:right="398" w:hanging="360"/>
        <w:jc w:val="left"/>
        <w:rPr>
          <w:sz w:val="20"/>
        </w:rPr>
      </w:pPr>
      <w:r>
        <w:rPr>
          <w:rFonts w:ascii="Arial" w:hAnsi="Arial" w:cs="Arial" w:eastAsia="Arial"/>
          <w:sz w:val="18"/>
        </w:rPr>
        <w:t>c:</w:t>
        <w:tab/>
      </w:r>
      <w:r>
        <w:rPr>
          <w:rFonts w:ascii="Arial" w:hAnsi="Arial" w:cs="Arial" w:eastAsia="Arial"/>
          <w:sz w:val="20"/>
        </w:rPr>
        <w:t>Vital signs measurements will be taken at screening. In addition, on each dosing day, vital sign (BP, pulse, body temperature, respiratory rate) measurements will be obtained at predose, 1, 2, 4, 6, and 8 hours postdose. Subjects will need to rest for 10 minutes before vital signs are taken in the supine position. Triplicate reading of supine vital signs will be measured at all visits except for Screening. At Screening and during the Treatment periods, after supine measurements are completed, subjects will be asked to stand up for 2 minutes, and BP and pulse will be taken in the standing position. At time points when vital signs, ECGs, and blood sampling are performed concurrently, procedures will be performed in the following order: ECGs, vital signs, and then blood sampling.</w:t>
      </w:r>
      <w:r>
        <w:rPr>
          <w:rFonts w:ascii="Arial" w:hAnsi="Arial" w:cs="Arial" w:eastAsia="Arial"/>
          <w:spacing w:val="9"/>
          <w:sz w:val="20"/>
        </w:rPr>
        <w:t xml:space="preserve">  </w:t>
      </w:r>
      <w:r>
        <w:rPr>
          <w:rFonts w:ascii="Arial" w:hAnsi="Arial" w:cs="Arial" w:eastAsia="Arial"/>
          <w:sz w:val="20"/>
        </w:rPr>
        <w:t xml:space="preserve">  Subjects will rest in the supine position for 10 minutes before and 5 minutes after ECG recordings followed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after="0"/>
        <w:jc w:val="left"/>
        <w:rPr>
          <w:sz w:val="20"/>
        </w:rPr>
        <w:sectPr>
          <w:pgSz w:w="15840" w:h="12240" w:orient="landscape"/>
          <w:pgMar w:header="953" w:footer="1220" w:top="1200" w:bottom="1420" w:left="1280" w:right="1320"/>
        </w:sect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7"/>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tabs>
          <w:tab w:pos="1599" w:val="left" w:leader="none"/>
        </w:tabs>
        <w:spacing w:before="92"/>
        <w:ind w:left="160"/>
        <w:rPr>
          <w:rFonts w:ascii="Arial"/>
        </w:rPr>
      </w:pPr>
      <w:r>
        <w:rPr>
          <w:rFonts w:ascii="Arial" w:hAnsi="Arial" w:cs="Arial" w:eastAsia="Arial"/>
        </w:rPr>
        <w:t>Table</w:t>
      </w:r>
      <w:r>
        <w:rPr>
          <w:rFonts w:ascii="Arial" w:hAnsi="Arial" w:cs="Arial" w:eastAsia="Arial"/>
          <w:spacing w:val="1"/>
        </w:rPr>
        <w:t xml:space="preserve">  </w:t>
      </w:r>
      <w:r>
        <w:rPr>
          <w:rFonts w:ascii="Arial" w:hAnsi="Arial" w:cs="Arial" w:eastAsia="Arial"/>
        </w:rPr>
        <w:t xml:space="preserve">  5</w:t>
        <w:tab/>
        <w:t>Schedule of Procedures/Assessments in Study</w:t>
      </w:r>
      <w:r>
        <w:rPr>
          <w:rFonts w:ascii="Arial" w:hAnsi="Arial" w:cs="Arial" w:eastAsia="Arial"/>
          <w:spacing w:val="-2"/>
        </w:rPr>
        <w:t xml:space="preserve">  </w:t>
      </w:r>
      <w:r>
        <w:rPr>
          <w:rFonts w:ascii="Arial" w:hAnsi="Arial" w:cs="Arial" w:eastAsia="Arial"/>
        </w:rPr>
        <w:t xml:space="preserve">  E2730-A001-201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rFonts w:ascii="Arial"/>
          <w:b/>
          <w:sz w:val="10"/>
        </w:rPr>
      </w:pPr>
    </w:p>
    <w:tbl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35"/>
        <w:gridCol w:w="1925"/>
        <w:gridCol w:w="1162"/>
        <w:gridCol w:w="1162"/>
        <w:gridCol w:w="1160"/>
        <w:gridCol w:w="1714"/>
        <w:gridCol w:w="2360"/>
      </w:tblGrid>
      <w:tr>
        <w:trPr>
          <w:trHeight w:val="350" w:hRule="atLeast"/>
        </w:trPr>
        <w:tc>
          <w:tcPr>
            <w:tcW w:w="3535" w:type="dxa"/>
          </w:tcPr>
          <w:p>
            <w:pPr>
              <w:pStyle w:val="TableParagraph"/>
              <w:spacing w:before="58"/>
              <w:ind w:left="107"/>
              <w:rPr>
                <w:b/>
                <w:sz w:val="20"/>
              </w:rPr>
            </w:pPr>
            <w:r>
              <w:rPr>
                <w:rFonts w:ascii="Arial" w:hAnsi="Arial" w:cs="Arial" w:eastAsia="Arial"/>
                <w:b/>
                <w:sz w:val="20"/>
              </w:rPr>
              <w:t>Phase</w:t>
            </w:r>
          </w:p>
        </w:tc>
        <w:tc>
          <w:tcPr>
            <w:tcW w:w="1925" w:type="dxa"/>
          </w:tcPr>
          <w:p>
            <w:pPr>
              <w:pStyle w:val="TableParagraph"/>
              <w:spacing w:before="58"/>
              <w:ind w:left="163" w:right="155"/>
              <w:jc w:val="center"/>
              <w:rPr>
                <w:b/>
                <w:sz w:val="20"/>
              </w:rPr>
            </w:pPr>
            <w:r>
              <w:rPr>
                <w:rFonts w:ascii="Arial" w:hAnsi="Arial" w:cs="Arial" w:eastAsia="Arial"/>
                <w:b/>
                <w:sz w:val="20"/>
              </w:rPr>
              <w:t>Prerandomization</w:t>
            </w:r>
          </w:p>
        </w:tc>
        <w:tc>
          <w:tcPr>
            <w:tcW w:w="5198" w:type="dxa"/>
            <w:gridSpan w:val="4"/>
          </w:tcPr>
          <w:p>
            <w:pPr>
              <w:pStyle w:val="TableParagraph"/>
              <w:spacing w:before="58"/>
              <w:ind w:left="1920" w:right="1915"/>
              <w:jc w:val="center"/>
              <w:rPr>
                <w:b/>
                <w:sz w:val="20"/>
              </w:rPr>
            </w:pPr>
            <w:r>
              <w:rPr>
                <w:rFonts w:ascii="Arial" w:hAnsi="Arial" w:cs="Arial" w:eastAsia="Arial"/>
                <w:b/>
                <w:sz w:val="20"/>
              </w:rPr>
              <w:t>Randomization</w:t>
            </w:r>
          </w:p>
        </w:tc>
        <w:tc>
          <w:tcPr>
            <w:tcW w:w="2360" w:type="dxa"/>
            <w:vMerge w:val="restart"/>
          </w:tcPr>
          <w:p>
            <w:pPr>
              <w:pStyle w:val="TableParagraph"/>
              <w:rPr>
                <w:rFonts w:ascii="Arial"/>
                <w:b/>
                <w:sz w:val="22"/>
              </w:rPr>
            </w:pPr>
          </w:p>
          <w:p>
            <w:pPr>
              <w:pStyle w:val="TableParagraph"/>
              <w:rPr>
                <w:rFonts w:ascii="Arial"/>
                <w:b/>
                <w:sz w:val="22"/>
              </w:rPr>
            </w:pPr>
          </w:p>
          <w:p>
            <w:pPr>
              <w:pStyle w:val="TableParagraph"/>
              <w:spacing w:before="142"/>
              <w:ind w:left="626"/>
              <w:rPr>
                <w:b/>
                <w:sz w:val="20"/>
              </w:rPr>
            </w:pPr>
            <w:r>
              <w:rPr>
                <w:rFonts w:ascii="Arial" w:hAnsi="Arial" w:cs="Arial" w:eastAsia="Arial"/>
                <w:b/>
                <w:sz w:val="20"/>
              </w:rPr>
              <w:t>Unscheduled</w:t>
            </w:r>
          </w:p>
        </w:tc>
      </w:tr>
      <w:tr>
        <w:trPr>
          <w:trHeight w:val="580" w:hRule="atLeast"/>
        </w:trPr>
        <w:tc>
          <w:tcPr>
            <w:tcW w:w="3535" w:type="dxa"/>
          </w:tcPr>
          <w:p>
            <w:pPr>
              <w:pStyle w:val="TableParagraph"/>
              <w:rPr>
                <w:rFonts w:ascii="Arial"/>
                <w:b/>
                <w:sz w:val="25"/>
              </w:rPr>
            </w:pPr>
          </w:p>
          <w:p>
            <w:pPr>
              <w:pStyle w:val="TableParagraph"/>
              <w:spacing w:before="1"/>
              <w:ind w:left="107"/>
              <w:rPr>
                <w:b/>
                <w:sz w:val="20"/>
              </w:rPr>
            </w:pPr>
            <w:r>
              <w:rPr>
                <w:rFonts w:ascii="Arial" w:hAnsi="Arial" w:cs="Arial" w:eastAsia="Arial"/>
                <w:b/>
                <w:sz w:val="20"/>
              </w:rPr>
              <w:t>Period</w:t>
            </w:r>
          </w:p>
        </w:tc>
        <w:tc>
          <w:tcPr>
            <w:tcW w:w="1925" w:type="dxa"/>
          </w:tcPr>
          <w:p>
            <w:pPr>
              <w:pStyle w:val="TableParagraph"/>
              <w:rPr>
                <w:rFonts w:ascii="Arial"/>
                <w:b/>
                <w:sz w:val="25"/>
              </w:rPr>
            </w:pPr>
          </w:p>
          <w:p>
            <w:pPr>
              <w:pStyle w:val="TableParagraph"/>
              <w:spacing w:before="1"/>
              <w:ind w:left="160" w:right="155"/>
              <w:jc w:val="center"/>
              <w:rPr>
                <w:b/>
                <w:sz w:val="20"/>
              </w:rPr>
            </w:pPr>
            <w:r>
              <w:rPr>
                <w:rFonts w:ascii="Arial" w:hAnsi="Arial" w:cs="Arial" w:eastAsia="Arial"/>
                <w:b/>
                <w:sz w:val="20"/>
              </w:rPr>
              <w:t>Screening</w:t>
            </w:r>
          </w:p>
        </w:tc>
        <w:tc>
          <w:tcPr>
            <w:tcW w:w="1162" w:type="dxa"/>
          </w:tcPr>
          <w:p>
            <w:pPr>
              <w:pStyle w:val="TableParagraph"/>
              <w:spacing w:before="58"/>
              <w:ind w:left="220" w:hanging="96"/>
              <w:rPr>
                <w:b/>
                <w:sz w:val="20"/>
              </w:rPr>
            </w:pPr>
            <w:r>
              <w:rPr>
                <w:rFonts w:ascii="Arial" w:hAnsi="Arial" w:cs="Arial" w:eastAsia="Arial"/>
                <w:b/>
                <w:w w:val="95"/>
                <w:sz w:val="20"/>
              </w:rPr>
              <w:t>Treatment </w:t>
            </w:r>
            <w:r>
              <w:rPr>
                <w:rFonts w:ascii="Arial" w:hAnsi="Arial" w:cs="Arial" w:eastAsia="Arial"/>
                <w:b/>
                <w:sz w:val="20"/>
              </w:rPr>
              <w:t>Period 1</w:t>
            </w:r>
          </w:p>
        </w:tc>
        <w:tc>
          <w:tcPr>
            <w:tcW w:w="1162" w:type="dxa"/>
          </w:tcPr>
          <w:p>
            <w:pPr>
              <w:pStyle w:val="TableParagraph"/>
              <w:spacing w:before="58"/>
              <w:ind w:left="220" w:hanging="96"/>
              <w:rPr>
                <w:b/>
                <w:sz w:val="20"/>
              </w:rPr>
            </w:pPr>
            <w:r>
              <w:rPr>
                <w:rFonts w:ascii="Arial" w:hAnsi="Arial" w:cs="Arial" w:eastAsia="Arial"/>
                <w:b/>
                <w:w w:val="95"/>
                <w:sz w:val="20"/>
              </w:rPr>
              <w:t>Treatment </w:t>
            </w:r>
            <w:r>
              <w:rPr>
                <w:rFonts w:ascii="Arial" w:hAnsi="Arial" w:cs="Arial" w:eastAsia="Arial"/>
                <w:b/>
                <w:sz w:val="20"/>
              </w:rPr>
              <w:t>Period 2</w:t>
            </w:r>
          </w:p>
        </w:tc>
        <w:tc>
          <w:tcPr>
            <w:tcW w:w="1160" w:type="dxa"/>
          </w:tcPr>
          <w:p>
            <w:pPr>
              <w:pStyle w:val="TableParagraph"/>
              <w:spacing w:before="58"/>
              <w:ind w:left="219" w:hanging="96"/>
              <w:rPr>
                <w:b/>
                <w:sz w:val="20"/>
              </w:rPr>
            </w:pPr>
            <w:r>
              <w:rPr>
                <w:rFonts w:ascii="Arial" w:hAnsi="Arial" w:cs="Arial" w:eastAsia="Arial"/>
                <w:b/>
                <w:w w:val="95"/>
                <w:sz w:val="20"/>
              </w:rPr>
              <w:t>Treatment </w:t>
            </w:r>
            <w:r>
              <w:rPr>
                <w:rFonts w:ascii="Arial" w:hAnsi="Arial" w:cs="Arial" w:eastAsia="Arial"/>
                <w:b/>
                <w:sz w:val="20"/>
              </w:rPr>
              <w:t>Period 3</w:t>
            </w:r>
          </w:p>
        </w:tc>
        <w:tc>
          <w:tcPr>
            <w:tcW w:w="1714" w:type="dxa"/>
          </w:tcPr>
          <w:p>
            <w:pPr>
              <w:pStyle w:val="TableParagraph"/>
              <w:spacing w:before="58"/>
              <w:ind w:left="142" w:hanging="5"/>
              <w:rPr>
                <w:b/>
                <w:sz w:val="20"/>
              </w:rPr>
            </w:pPr>
            <w:r>
              <w:rPr>
                <w:rFonts w:ascii="Arial" w:hAnsi="Arial" w:cs="Arial" w:eastAsia="Arial"/>
                <w:b/>
                <w:sz w:val="20"/>
              </w:rPr>
              <w:t>Follow-up /Early Discontinuation</w:t>
            </w:r>
            <w:r>
              <w:rPr>
                <w:rFonts w:ascii="Arial" w:hAnsi="Arial" w:cs="Arial" w:eastAsia="Arial"/>
                <w:b/>
                <w:sz w:val="20"/>
                <w:vertAlign w:val="superscript"/>
              </w:rPr>
              <w:t>a</w:t>
            </w:r>
          </w:p>
        </w:tc>
        <w:tc>
          <w:tcPr>
            <w:tcW w:w="2360" w:type="dxa"/>
            <w:vMerge/>
            <w:tcBorders>
              <w:top w:val="nil"/>
            </w:tcBorders>
          </w:tcPr>
          <w:p>
            <w:pPr>
              <w:rPr>
                <w:sz w:val="2"/>
                <w:szCs w:val="2"/>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Visit</w:t>
            </w:r>
          </w:p>
        </w:tc>
        <w:tc>
          <w:tcPr>
            <w:tcW w:w="1925" w:type="dxa"/>
          </w:tcPr>
          <w:p>
            <w:pPr>
              <w:pStyle w:val="TableParagraph"/>
              <w:spacing w:before="58"/>
              <w:ind w:left="8"/>
              <w:jc w:val="center"/>
              <w:rPr>
                <w:b/>
                <w:sz w:val="20"/>
              </w:rPr>
            </w:pPr>
            <w:r>
              <w:rPr>
                <w:rFonts w:ascii="Arial" w:hAnsi="Arial" w:cs="Arial" w:eastAsia="Arial"/>
                <w:b/>
                <w:w w:val="99"/>
                <w:sz w:val="20"/>
              </w:rPr>
              <w:t>1</w:t>
            </w:r>
          </w:p>
        </w:tc>
        <w:tc>
          <w:tcPr>
            <w:tcW w:w="1162" w:type="dxa"/>
          </w:tcPr>
          <w:p>
            <w:pPr>
              <w:pStyle w:val="TableParagraph"/>
              <w:spacing w:before="58"/>
              <w:ind w:left="530"/>
              <w:rPr>
                <w:b/>
                <w:sz w:val="20"/>
              </w:rPr>
            </w:pPr>
            <w:r>
              <w:rPr>
                <w:rFonts w:ascii="Arial" w:hAnsi="Arial" w:cs="Arial" w:eastAsia="Arial"/>
                <w:b/>
                <w:w w:val="99"/>
                <w:sz w:val="20"/>
              </w:rPr>
              <w:t>2</w:t>
            </w:r>
          </w:p>
        </w:tc>
        <w:tc>
          <w:tcPr>
            <w:tcW w:w="1162" w:type="dxa"/>
          </w:tcPr>
          <w:p>
            <w:pPr>
              <w:pStyle w:val="TableParagraph"/>
              <w:spacing w:before="58"/>
              <w:ind w:left="7"/>
              <w:jc w:val="center"/>
              <w:rPr>
                <w:b/>
                <w:sz w:val="20"/>
              </w:rPr>
            </w:pPr>
            <w:r>
              <w:rPr>
                <w:rFonts w:ascii="Arial" w:hAnsi="Arial" w:cs="Arial" w:eastAsia="Arial"/>
                <w:b/>
                <w:w w:val="99"/>
                <w:sz w:val="20"/>
              </w:rPr>
              <w:t>3</w:t>
            </w:r>
          </w:p>
        </w:tc>
        <w:tc>
          <w:tcPr>
            <w:tcW w:w="1160" w:type="dxa"/>
          </w:tcPr>
          <w:p>
            <w:pPr>
              <w:pStyle w:val="TableParagraph"/>
              <w:spacing w:before="58"/>
              <w:ind w:left="8"/>
              <w:jc w:val="center"/>
              <w:rPr>
                <w:b/>
                <w:sz w:val="20"/>
              </w:rPr>
            </w:pPr>
            <w:r>
              <w:rPr>
                <w:rFonts w:ascii="Arial" w:hAnsi="Arial" w:cs="Arial" w:eastAsia="Arial"/>
                <w:b/>
                <w:w w:val="99"/>
                <w:sz w:val="20"/>
              </w:rPr>
              <w:t>4</w:t>
            </w:r>
          </w:p>
        </w:tc>
        <w:tc>
          <w:tcPr>
            <w:tcW w:w="1714" w:type="dxa"/>
          </w:tcPr>
          <w:p>
            <w:pPr>
              <w:pStyle w:val="TableParagraph"/>
              <w:spacing w:before="58"/>
              <w:jc w:val="center"/>
              <w:rPr>
                <w:b/>
                <w:sz w:val="20"/>
              </w:rPr>
            </w:pPr>
            <w:r>
              <w:rPr>
                <w:rFonts w:ascii="Arial" w:hAnsi="Arial" w:cs="Arial" w:eastAsia="Arial"/>
                <w:b/>
                <w:w w:val="99"/>
                <w:sz w:val="20"/>
              </w:rPr>
              <w:t>5</w:t>
            </w:r>
          </w:p>
        </w:tc>
        <w:tc>
          <w:tcPr>
            <w:tcW w:w="2360" w:type="dxa"/>
          </w:tcPr>
          <w:p>
            <w:pPr>
              <w:pStyle w:val="TableParagraph"/>
              <w:rPr>
                <w:sz w:val="20"/>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Study Day</w:t>
            </w:r>
          </w:p>
        </w:tc>
        <w:tc>
          <w:tcPr>
            <w:tcW w:w="1925" w:type="dxa"/>
          </w:tcPr>
          <w:p>
            <w:pPr>
              <w:pStyle w:val="TableParagraph"/>
              <w:spacing w:before="58"/>
              <w:ind w:left="163" w:right="152"/>
              <w:jc w:val="center"/>
              <w:rPr>
                <w:b/>
                <w:sz w:val="20"/>
              </w:rPr>
            </w:pPr>
            <w:r>
              <w:rPr>
                <w:rFonts w:ascii="Arial" w:hAnsi="Arial" w:cs="Arial" w:eastAsia="Arial"/>
                <w:b/>
                <w:sz w:val="20"/>
              </w:rPr>
              <w:t>-21 to -1</w:t>
            </w:r>
          </w:p>
        </w:tc>
        <w:tc>
          <w:tcPr>
            <w:tcW w:w="1162" w:type="dxa"/>
          </w:tcPr>
          <w:p>
            <w:pPr>
              <w:pStyle w:val="TableParagraph"/>
              <w:spacing w:before="58"/>
              <w:ind w:left="530"/>
              <w:rPr>
                <w:b/>
                <w:sz w:val="20"/>
              </w:rPr>
            </w:pPr>
            <w:r>
              <w:rPr>
                <w:rFonts w:ascii="Arial" w:hAnsi="Arial" w:cs="Arial" w:eastAsia="Arial"/>
                <w:b/>
                <w:w w:val="99"/>
                <w:sz w:val="20"/>
              </w:rPr>
              <w:t>1</w:t>
            </w:r>
          </w:p>
        </w:tc>
        <w:tc>
          <w:tcPr>
            <w:tcW w:w="1162" w:type="dxa"/>
          </w:tcPr>
          <w:p>
            <w:pPr>
              <w:pStyle w:val="TableParagraph"/>
              <w:spacing w:before="58"/>
              <w:ind w:left="355" w:right="347"/>
              <w:jc w:val="center"/>
              <w:rPr>
                <w:b/>
                <w:sz w:val="20"/>
              </w:rPr>
            </w:pPr>
            <w:r>
              <w:rPr>
                <w:rFonts w:ascii="Arial" w:hAnsi="Arial" w:cs="Arial" w:eastAsia="Arial"/>
                <w:b/>
                <w:sz w:val="20"/>
              </w:rPr>
              <w:t>22±3</w:t>
            </w:r>
          </w:p>
        </w:tc>
        <w:tc>
          <w:tcPr>
            <w:tcW w:w="1160" w:type="dxa"/>
          </w:tcPr>
          <w:p>
            <w:pPr>
              <w:pStyle w:val="TableParagraph"/>
              <w:spacing w:before="58"/>
              <w:ind w:left="354" w:right="345"/>
              <w:jc w:val="center"/>
              <w:rPr>
                <w:b/>
                <w:sz w:val="20"/>
              </w:rPr>
            </w:pPr>
            <w:r>
              <w:rPr>
                <w:rFonts w:ascii="Arial" w:hAnsi="Arial" w:cs="Arial" w:eastAsia="Arial"/>
                <w:b/>
                <w:sz w:val="20"/>
              </w:rPr>
              <w:t>43±3</w:t>
            </w:r>
          </w:p>
        </w:tc>
        <w:tc>
          <w:tcPr>
            <w:tcW w:w="1714" w:type="dxa"/>
          </w:tcPr>
          <w:p>
            <w:pPr>
              <w:pStyle w:val="TableParagraph"/>
              <w:spacing w:before="58"/>
              <w:ind w:left="629" w:right="624"/>
              <w:jc w:val="center"/>
              <w:rPr>
                <w:b/>
                <w:sz w:val="20"/>
              </w:rPr>
            </w:pPr>
            <w:r>
              <w:rPr>
                <w:rFonts w:ascii="Arial" w:hAnsi="Arial" w:cs="Arial" w:eastAsia="Arial"/>
                <w:b/>
                <w:sz w:val="20"/>
              </w:rPr>
              <w:t>64±3</w:t>
            </w:r>
          </w:p>
        </w:tc>
        <w:tc>
          <w:tcPr>
            <w:tcW w:w="2360" w:type="dxa"/>
          </w:tcPr>
          <w:p>
            <w:pPr>
              <w:pStyle w:val="TableParagraph"/>
              <w:rPr>
                <w:sz w:val="20"/>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Procedures/Assessments</w:t>
            </w:r>
          </w:p>
        </w:tc>
        <w:tc>
          <w:tcPr>
            <w:tcW w:w="1925" w:type="dxa"/>
          </w:tcPr>
          <w:p>
            <w:pPr>
              <w:pStyle w:val="TableParagraph"/>
              <w:rPr>
                <w:sz w:val="20"/>
              </w:rPr>
            </w:pP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bl>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before="0"/>
        <w:ind w:left="608" w:right="0" w:firstLine="0"/>
        <w:jc w:val="left"/>
        <w:rPr>
          <w:sz w:val="20"/>
        </w:rPr>
      </w:pPr>
      <w:r>
        <w:rPr>
          <w:rFonts w:ascii="Arial" w:hAnsi="Arial" w:cs="Arial" w:eastAsia="Arial"/>
          <w:sz w:val="20"/>
        </w:rPr>
        <w:t>by recording of vital signs in the supine position and in standing position (BP and pulse only), and lastly blood sampling.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0"/>
        <w:ind w:left="248" w:right="0" w:firstLine="0"/>
        <w:jc w:val="left"/>
        <w:rPr>
          <w:sz w:val="20"/>
        </w:rPr>
      </w:pPr>
      <w:r>
        <w:rPr>
          <w:rFonts w:ascii="Arial" w:hAnsi="Arial" w:cs="Arial" w:eastAsia="Arial"/>
          <w:sz w:val="18"/>
        </w:rPr>
        <w:t>d:</w:t>
        <w:tab/>
      </w:r>
      <w:r>
        <w:rPr>
          <w:rFonts w:ascii="Arial" w:hAnsi="Arial" w:cs="Arial" w:eastAsia="Arial"/>
          <w:sz w:val="20"/>
        </w:rPr>
        <w:t>At Screening, both height and weight will be measured. At all other visits, only weight will be</w:t>
      </w:r>
      <w:r>
        <w:rPr>
          <w:rFonts w:ascii="Arial" w:hAnsi="Arial" w:cs="Arial" w:eastAsia="Arial"/>
          <w:spacing w:val="-5"/>
          <w:sz w:val="20"/>
        </w:rPr>
        <w:t xml:space="preserve">  </w:t>
      </w:r>
      <w:r>
        <w:rPr>
          <w:rFonts w:ascii="Arial" w:hAnsi="Arial" w:cs="Arial" w:eastAsia="Arial"/>
          <w:sz w:val="20"/>
        </w:rPr>
        <w:t xml:space="preserve">  measured.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1"/>
        <w:ind w:left="608" w:right="1044" w:hanging="360"/>
        <w:jc w:val="left"/>
        <w:rPr>
          <w:sz w:val="20"/>
        </w:rPr>
      </w:pPr>
      <w:r>
        <w:rPr>
          <w:rFonts w:ascii="Arial" w:hAnsi="Arial" w:cs="Arial" w:eastAsia="Arial"/>
          <w:sz w:val="18"/>
        </w:rPr>
        <w:t>e:</w:t>
        <w:tab/>
      </w:r>
      <w:r>
        <w:rPr>
          <w:rFonts w:ascii="Arial" w:hAnsi="Arial" w:cs="Arial" w:eastAsia="Arial"/>
          <w:sz w:val="20"/>
        </w:rPr>
        <w:t>ECG</w:t>
      </w:r>
      <w:r>
        <w:rPr>
          <w:rFonts w:ascii="Arial" w:hAnsi="Arial" w:cs="Arial" w:eastAsia="Arial"/>
          <w:spacing w:val="-2"/>
          <w:sz w:val="20"/>
        </w:rPr>
        <w:t xml:space="preserve">  </w:t>
      </w:r>
      <w:r>
        <w:rPr>
          <w:rFonts w:ascii="Arial" w:hAnsi="Arial" w:cs="Arial" w:eastAsia="Arial"/>
          <w:sz w:val="20"/>
        </w:rPr>
        <w:t xml:space="preserve">  assessments</w:t>
      </w:r>
      <w:r>
        <w:rPr>
          <w:rFonts w:ascii="Arial" w:hAnsi="Arial" w:cs="Arial" w:eastAsia="Arial"/>
          <w:spacing w:val="-2"/>
          <w:sz w:val="20"/>
        </w:rPr>
        <w:t xml:space="preserve">  </w:t>
      </w:r>
      <w:r>
        <w:rPr>
          <w:rFonts w:ascii="Arial" w:hAnsi="Arial" w:cs="Arial" w:eastAsia="Arial"/>
          <w:sz w:val="20"/>
        </w:rPr>
        <w:t xml:space="preserve">  will</w:t>
      </w:r>
      <w:r>
        <w:rPr>
          <w:rFonts w:ascii="Arial" w:hAnsi="Arial" w:cs="Arial" w:eastAsia="Arial"/>
          <w:spacing w:val="-2"/>
          <w:sz w:val="20"/>
        </w:rPr>
        <w:t xml:space="preserve">  </w:t>
      </w:r>
      <w:r>
        <w:rPr>
          <w:rFonts w:ascii="Arial" w:hAnsi="Arial" w:cs="Arial" w:eastAsia="Arial"/>
          <w:sz w:val="20"/>
        </w:rPr>
        <w:t xml:space="preserve">  be</w:t>
      </w:r>
      <w:r>
        <w:rPr>
          <w:rFonts w:ascii="Arial" w:hAnsi="Arial" w:cs="Arial" w:eastAsia="Arial"/>
          <w:spacing w:val="-1"/>
          <w:sz w:val="20"/>
        </w:rPr>
        <w:t xml:space="preserve">  </w:t>
      </w:r>
      <w:r>
        <w:rPr>
          <w:rFonts w:ascii="Arial" w:hAnsi="Arial" w:cs="Arial" w:eastAsia="Arial"/>
          <w:sz w:val="20"/>
        </w:rPr>
        <w:t xml:space="preserve">  performed</w:t>
      </w:r>
      <w:r>
        <w:rPr>
          <w:rFonts w:ascii="Arial" w:hAnsi="Arial" w:cs="Arial" w:eastAsia="Arial"/>
          <w:spacing w:val="-2"/>
          <w:sz w:val="20"/>
        </w:rPr>
        <w:t xml:space="preserve">  </w:t>
      </w:r>
      <w:r>
        <w:rPr>
          <w:rFonts w:ascii="Arial" w:hAnsi="Arial" w:cs="Arial" w:eastAsia="Arial"/>
          <w:sz w:val="20"/>
        </w:rPr>
        <w:t xml:space="preserve">  in</w:t>
      </w:r>
      <w:r>
        <w:rPr>
          <w:rFonts w:ascii="Arial" w:hAnsi="Arial" w:cs="Arial" w:eastAsia="Arial"/>
          <w:spacing w:val="-2"/>
          <w:sz w:val="20"/>
        </w:rPr>
        <w:t xml:space="preserve">  </w:t>
      </w:r>
      <w:r>
        <w:rPr>
          <w:rFonts w:ascii="Arial" w:hAnsi="Arial" w:cs="Arial" w:eastAsia="Arial"/>
          <w:sz w:val="20"/>
        </w:rPr>
        <w:t xml:space="preserve">  the</w:t>
      </w:r>
      <w:r>
        <w:rPr>
          <w:rFonts w:ascii="Arial" w:hAnsi="Arial" w:cs="Arial" w:eastAsia="Arial"/>
          <w:spacing w:val="-1"/>
          <w:sz w:val="20"/>
        </w:rPr>
        <w:t xml:space="preserve">  </w:t>
      </w:r>
      <w:r>
        <w:rPr>
          <w:rFonts w:ascii="Arial" w:hAnsi="Arial" w:cs="Arial" w:eastAsia="Arial"/>
          <w:sz w:val="20"/>
        </w:rPr>
        <w:t xml:space="preserve">  supine</w:t>
      </w:r>
      <w:r>
        <w:rPr>
          <w:rFonts w:ascii="Arial" w:hAnsi="Arial" w:cs="Arial" w:eastAsia="Arial"/>
          <w:spacing w:val="-2"/>
          <w:sz w:val="20"/>
        </w:rPr>
        <w:t xml:space="preserve">  </w:t>
      </w:r>
      <w:r>
        <w:rPr>
          <w:rFonts w:ascii="Arial" w:hAnsi="Arial" w:cs="Arial" w:eastAsia="Arial"/>
          <w:sz w:val="20"/>
        </w:rPr>
        <w:t xml:space="preserve">  position</w:t>
      </w:r>
      <w:r>
        <w:rPr>
          <w:rFonts w:ascii="Arial" w:hAnsi="Arial" w:cs="Arial" w:eastAsia="Arial"/>
          <w:spacing w:val="-2"/>
          <w:sz w:val="20"/>
        </w:rPr>
        <w:t xml:space="preserve">  </w:t>
      </w:r>
      <w:r>
        <w:rPr>
          <w:rFonts w:ascii="Arial" w:hAnsi="Arial" w:cs="Arial" w:eastAsia="Arial"/>
          <w:sz w:val="20"/>
        </w:rPr>
        <w:t xml:space="preserve">  at</w:t>
      </w:r>
      <w:r>
        <w:rPr>
          <w:rFonts w:ascii="Arial" w:hAnsi="Arial" w:cs="Arial" w:eastAsia="Arial"/>
          <w:spacing w:val="-2"/>
          <w:sz w:val="20"/>
        </w:rPr>
        <w:t xml:space="preserve">  </w:t>
      </w:r>
      <w:r>
        <w:rPr>
          <w:rFonts w:ascii="Arial" w:hAnsi="Arial" w:cs="Arial" w:eastAsia="Arial"/>
          <w:sz w:val="20"/>
        </w:rPr>
        <w:t xml:space="preserve">  predose</w:t>
      </w:r>
      <w:r>
        <w:rPr>
          <w:rFonts w:ascii="Arial" w:hAnsi="Arial" w:cs="Arial" w:eastAsia="Arial"/>
          <w:spacing w:val="-1"/>
          <w:sz w:val="20"/>
        </w:rPr>
        <w:t xml:space="preserve">  </w:t>
      </w:r>
      <w:r>
        <w:rPr>
          <w:rFonts w:ascii="Arial" w:hAnsi="Arial" w:cs="Arial" w:eastAsia="Arial"/>
          <w:sz w:val="20"/>
        </w:rPr>
        <w:t xml:space="preserve">  and</w:t>
      </w:r>
      <w:r>
        <w:rPr>
          <w:rFonts w:ascii="Arial" w:hAnsi="Arial" w:cs="Arial" w:eastAsia="Arial"/>
          <w:spacing w:val="-2"/>
          <w:sz w:val="20"/>
        </w:rPr>
        <w:t xml:space="preserve">  </w:t>
      </w:r>
      <w:r>
        <w:rPr>
          <w:rFonts w:ascii="Arial" w:hAnsi="Arial" w:cs="Arial" w:eastAsia="Arial"/>
          <w:sz w:val="20"/>
        </w:rPr>
        <w:t xml:space="preserve">  4</w:t>
      </w:r>
      <w:r>
        <w:rPr>
          <w:rFonts w:ascii="Arial" w:hAnsi="Arial" w:cs="Arial" w:eastAsia="Arial"/>
          <w:spacing w:val="-2"/>
          <w:sz w:val="20"/>
        </w:rPr>
        <w:t xml:space="preserve">  </w:t>
      </w:r>
      <w:r>
        <w:rPr>
          <w:rFonts w:ascii="Arial" w:hAnsi="Arial" w:cs="Arial" w:eastAsia="Arial"/>
          <w:sz w:val="20"/>
        </w:rPr>
        <w:t xml:space="preserve">  hours</w:t>
      </w:r>
      <w:r>
        <w:rPr>
          <w:rFonts w:ascii="Arial" w:hAnsi="Arial" w:cs="Arial" w:eastAsia="Arial"/>
          <w:spacing w:val="-1"/>
          <w:sz w:val="20"/>
        </w:rPr>
        <w:t xml:space="preserve">  </w:t>
      </w:r>
      <w:r>
        <w:rPr>
          <w:rFonts w:ascii="Arial" w:hAnsi="Arial" w:cs="Arial" w:eastAsia="Arial"/>
          <w:sz w:val="20"/>
        </w:rPr>
        <w:t xml:space="preserve">  postdose</w:t>
      </w:r>
      <w:r>
        <w:rPr>
          <w:rFonts w:ascii="Arial" w:hAnsi="Arial" w:cs="Arial" w:eastAsia="Arial"/>
          <w:spacing w:val="-2"/>
          <w:sz w:val="20"/>
        </w:rPr>
        <w:t xml:space="preserve">  </w:t>
      </w:r>
      <w:r>
        <w:rPr>
          <w:rFonts w:ascii="Arial" w:hAnsi="Arial" w:cs="Arial" w:eastAsia="Arial"/>
          <w:sz w:val="20"/>
        </w:rPr>
        <w:t xml:space="preserve">  (on</w:t>
      </w:r>
      <w:r>
        <w:rPr>
          <w:rFonts w:ascii="Arial" w:hAnsi="Arial" w:cs="Arial" w:eastAsia="Arial"/>
          <w:spacing w:val="-2"/>
          <w:sz w:val="20"/>
        </w:rPr>
        <w:t xml:space="preserve">  </w:t>
      </w:r>
      <w:r>
        <w:rPr>
          <w:rFonts w:ascii="Arial" w:hAnsi="Arial" w:cs="Arial" w:eastAsia="Arial"/>
          <w:sz w:val="20"/>
        </w:rPr>
        <w:t xml:space="preserve">  each</w:t>
      </w:r>
      <w:r>
        <w:rPr>
          <w:rFonts w:ascii="Arial" w:hAnsi="Arial" w:cs="Arial" w:eastAsia="Arial"/>
          <w:spacing w:val="-2"/>
          <w:sz w:val="20"/>
        </w:rPr>
        <w:t xml:space="preserve">  </w:t>
      </w:r>
      <w:r>
        <w:rPr>
          <w:rFonts w:ascii="Arial" w:hAnsi="Arial" w:cs="Arial" w:eastAsia="Arial"/>
          <w:sz w:val="20"/>
        </w:rPr>
        <w:t xml:space="preserve">  dosing</w:t>
      </w:r>
      <w:r>
        <w:rPr>
          <w:rFonts w:ascii="Arial" w:hAnsi="Arial" w:cs="Arial" w:eastAsia="Arial"/>
          <w:spacing w:val="-1"/>
          <w:sz w:val="20"/>
        </w:rPr>
        <w:t xml:space="preserve">  </w:t>
      </w:r>
      <w:r>
        <w:rPr>
          <w:rFonts w:ascii="Arial" w:hAnsi="Arial" w:cs="Arial" w:eastAsia="Arial"/>
          <w:sz w:val="20"/>
        </w:rPr>
        <w:t xml:space="preserve">  day).</w:t>
      </w:r>
      <w:r>
        <w:rPr>
          <w:rFonts w:ascii="Arial" w:hAnsi="Arial" w:cs="Arial" w:eastAsia="Arial"/>
          <w:spacing w:val="-2"/>
          <w:sz w:val="20"/>
        </w:rPr>
        <w:t xml:space="preserve">  </w:t>
      </w:r>
      <w:r>
        <w:rPr>
          <w:rFonts w:ascii="Arial" w:hAnsi="Arial" w:cs="Arial" w:eastAsia="Arial"/>
          <w:sz w:val="20"/>
        </w:rPr>
        <w:t xml:space="preserve">  If</w:t>
      </w:r>
      <w:r>
        <w:rPr>
          <w:rFonts w:ascii="Arial" w:hAnsi="Arial" w:cs="Arial" w:eastAsia="Arial"/>
          <w:spacing w:val="-2"/>
          <w:sz w:val="20"/>
        </w:rPr>
        <w:t xml:space="preserve">  </w:t>
      </w:r>
      <w:r>
        <w:rPr>
          <w:rFonts w:ascii="Arial" w:hAnsi="Arial" w:cs="Arial" w:eastAsia="Arial"/>
          <w:sz w:val="20"/>
        </w:rPr>
        <w:t xml:space="preserve">  during</w:t>
      </w:r>
      <w:r>
        <w:rPr>
          <w:rFonts w:ascii="Arial" w:hAnsi="Arial" w:cs="Arial" w:eastAsia="Arial"/>
          <w:spacing w:val="-1"/>
          <w:sz w:val="20"/>
        </w:rPr>
        <w:t xml:space="preserve">  </w:t>
      </w:r>
      <w:r>
        <w:rPr>
          <w:rFonts w:ascii="Arial" w:hAnsi="Arial" w:cs="Arial" w:eastAsia="Arial"/>
          <w:sz w:val="20"/>
        </w:rPr>
        <w:t xml:space="preserve">  any</w:t>
      </w:r>
      <w:r>
        <w:rPr>
          <w:rFonts w:ascii="Arial" w:hAnsi="Arial" w:cs="Arial" w:eastAsia="Arial"/>
          <w:spacing w:val="2"/>
          <w:sz w:val="20"/>
        </w:rPr>
        <w:t xml:space="preserve">  </w:t>
      </w:r>
      <w:r>
        <w:rPr>
          <w:rFonts w:ascii="Arial" w:hAnsi="Arial" w:cs="Arial" w:eastAsia="Arial"/>
          <w:sz w:val="20"/>
        </w:rPr>
        <w:t xml:space="preserve">  visit</w:t>
      </w:r>
      <w:r>
        <w:rPr>
          <w:rFonts w:ascii="Arial" w:hAnsi="Arial" w:cs="Arial" w:eastAsia="Arial"/>
          <w:spacing w:val="-2"/>
          <w:sz w:val="20"/>
        </w:rPr>
        <w:t xml:space="preserve">  </w:t>
      </w:r>
      <w:r>
        <w:rPr>
          <w:rFonts w:ascii="Arial" w:hAnsi="Arial" w:cs="Arial" w:eastAsia="Arial"/>
          <w:sz w:val="20"/>
        </w:rPr>
        <w:t xml:space="preserve">  the</w:t>
      </w:r>
      <w:r>
        <w:rPr>
          <w:rFonts w:ascii="Arial" w:hAnsi="Arial" w:cs="Arial" w:eastAsia="Arial"/>
          <w:spacing w:val="-2"/>
          <w:sz w:val="20"/>
        </w:rPr>
        <w:t xml:space="preserve">  </w:t>
      </w:r>
      <w:r>
        <w:rPr>
          <w:rFonts w:ascii="Arial" w:hAnsi="Arial" w:cs="Arial" w:eastAsia="Arial"/>
          <w:sz w:val="20"/>
        </w:rPr>
        <w:t xml:space="preserve">  QTc</w:t>
      </w:r>
      <w:r>
        <w:rPr>
          <w:rFonts w:ascii="Arial" w:hAnsi="Arial" w:cs="Arial" w:eastAsia="Arial"/>
          <w:spacing w:val="-1"/>
          <w:sz w:val="20"/>
        </w:rPr>
        <w:t xml:space="preserve">  </w:t>
      </w:r>
      <w:r>
        <w:rPr>
          <w:rFonts w:ascii="Arial" w:hAnsi="Arial" w:cs="Arial" w:eastAsia="Arial"/>
          <w:sz w:val="20"/>
        </w:rPr>
        <w:t xml:space="preserve">  was measured as &gt;450 msec, 3 consecutive ECGs separated by 5 – 10 minutes will be performed to confirm the</w:t>
      </w:r>
      <w:r>
        <w:rPr>
          <w:rFonts w:ascii="Arial" w:hAnsi="Arial" w:cs="Arial" w:eastAsia="Arial"/>
          <w:spacing w:val="-10"/>
          <w:sz w:val="20"/>
        </w:rPr>
        <w:t xml:space="preserve">  </w:t>
      </w:r>
      <w:r>
        <w:rPr>
          <w:rFonts w:ascii="Arial" w:hAnsi="Arial" w:cs="Arial" w:eastAsia="Arial"/>
          <w:sz w:val="20"/>
        </w:rPr>
        <w:t xml:space="preserve">  abnormality.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58"/>
        <w:ind w:left="248" w:right="0" w:firstLine="0"/>
        <w:jc w:val="left"/>
        <w:rPr>
          <w:sz w:val="20"/>
        </w:rPr>
      </w:pPr>
      <w:r>
        <w:rPr>
          <w:rFonts w:ascii="Arial" w:hAnsi="Arial" w:cs="Arial" w:eastAsia="Arial"/>
          <w:sz w:val="18"/>
        </w:rPr>
        <w:t>f:</w:t>
        <w:tab/>
      </w:r>
      <w:r>
        <w:rPr>
          <w:rFonts w:ascii="Arial" w:hAnsi="Arial" w:cs="Arial" w:eastAsia="Arial"/>
          <w:sz w:val="20"/>
        </w:rPr>
        <w:t>During the unscheduled visits, ECG will only be done if the results from the previous visit were deemed to be clinically significant by the</w:t>
      </w:r>
      <w:r>
        <w:rPr>
          <w:rFonts w:ascii="Arial" w:hAnsi="Arial" w:cs="Arial" w:eastAsia="Arial"/>
          <w:spacing w:val="-28"/>
          <w:sz w:val="20"/>
        </w:rPr>
        <w:t xml:space="preserve">  </w:t>
      </w:r>
      <w:r>
        <w:rPr>
          <w:rFonts w:ascii="Arial" w:hAnsi="Arial" w:cs="Arial" w:eastAsia="Arial"/>
          <w:sz w:val="20"/>
        </w:rPr>
        <w:t xml:space="preserve">  investigator.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0"/>
        <w:ind w:left="248" w:right="0" w:firstLine="0"/>
        <w:jc w:val="left"/>
        <w:rPr>
          <w:sz w:val="20"/>
        </w:rPr>
      </w:pPr>
      <w:r>
        <w:rPr>
          <w:rFonts w:ascii="Arial" w:hAnsi="Arial" w:cs="Arial" w:eastAsia="Arial"/>
          <w:sz w:val="18"/>
        </w:rPr>
        <w:t>g:</w:t>
        <w:tab/>
      </w:r>
      <w:r>
        <w:rPr>
          <w:rFonts w:ascii="Arial" w:hAnsi="Arial" w:cs="Arial" w:eastAsia="Arial"/>
          <w:sz w:val="20"/>
        </w:rPr>
        <w:t>Clinical laboratory tests include hematology, blood chemistry, and</w:t>
      </w:r>
      <w:r>
        <w:rPr>
          <w:rFonts w:ascii="Arial" w:hAnsi="Arial" w:cs="Arial" w:eastAsia="Arial"/>
          <w:spacing w:val="-2"/>
          <w:sz w:val="20"/>
        </w:rPr>
        <w:t xml:space="preserve">  </w:t>
      </w:r>
      <w:r>
        <w:rPr>
          <w:rFonts w:ascii="Arial" w:hAnsi="Arial" w:cs="Arial" w:eastAsia="Arial"/>
          <w:sz w:val="20"/>
        </w:rPr>
        <w:t xml:space="preserve">  urinalysis.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1"/>
        <w:ind w:left="248" w:right="0" w:firstLine="0"/>
        <w:jc w:val="left"/>
        <w:rPr>
          <w:sz w:val="20"/>
        </w:rPr>
      </w:pPr>
      <w:r>
        <w:rPr>
          <w:rFonts w:ascii="Arial" w:hAnsi="Arial" w:cs="Arial" w:eastAsia="Arial"/>
          <w:sz w:val="18"/>
        </w:rPr>
        <w:t>h:</w:t>
        <w:tab/>
      </w:r>
      <w:r>
        <w:rPr>
          <w:rFonts w:ascii="Arial" w:hAnsi="Arial" w:cs="Arial" w:eastAsia="Arial"/>
          <w:sz w:val="20"/>
        </w:rPr>
        <w:t>Female subjects of childbearing potential</w:t>
      </w:r>
      <w:r>
        <w:rPr>
          <w:rFonts w:ascii="Arial" w:hAnsi="Arial" w:cs="Arial" w:eastAsia="Arial"/>
          <w:spacing w:val="-1"/>
          <w:sz w:val="20"/>
        </w:rPr>
        <w:t xml:space="preserve">  </w:t>
      </w:r>
      <w:r>
        <w:rPr>
          <w:rFonts w:ascii="Arial" w:hAnsi="Arial" w:cs="Arial" w:eastAsia="Arial"/>
          <w:sz w:val="20"/>
        </w:rPr>
        <w:t xml:space="preserve">  only.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0"/>
        <w:ind w:left="608" w:right="322" w:hanging="360"/>
        <w:jc w:val="left"/>
        <w:rPr>
          <w:sz w:val="20"/>
        </w:rPr>
      </w:pPr>
      <w:r>
        <w:rPr>
          <w:rFonts w:ascii="Arial" w:hAnsi="Arial" w:cs="Arial" w:eastAsia="Arial"/>
          <w:sz w:val="18"/>
        </w:rPr>
        <w:t>i:</w:t>
        <w:tab/>
      </w:r>
      <w:r>
        <w:rPr>
          <w:rFonts w:ascii="Arial" w:hAnsi="Arial" w:cs="Arial" w:eastAsia="Arial"/>
          <w:sz w:val="20"/>
        </w:rPr>
        <w:t>Blood samples for plasma PK will be obtained at predose and postdose at 1, 2, 4, 6, and 8 hours on Days 1, 22, and 43.</w:t>
      </w:r>
      <w:r>
        <w:rPr>
          <w:rFonts w:ascii="Arial" w:hAnsi="Arial" w:cs="Arial" w:eastAsia="Arial"/>
          <w:spacing w:val="10"/>
          <w:sz w:val="20"/>
        </w:rPr>
        <w:t xml:space="preserve">  </w:t>
      </w:r>
      <w:r>
        <w:rPr>
          <w:rFonts w:ascii="Arial" w:hAnsi="Arial" w:cs="Arial" w:eastAsia="Arial"/>
          <w:sz w:val="20"/>
        </w:rPr>
        <w:t xml:space="preserve">  In case of early discontinuation, a PK sample will be</w:t>
      </w:r>
      <w:r>
        <w:rPr>
          <w:rFonts w:ascii="Arial" w:hAnsi="Arial" w:cs="Arial" w:eastAsia="Arial"/>
          <w:spacing w:val="-1"/>
          <w:sz w:val="20"/>
        </w:rPr>
        <w:t xml:space="preserve">  </w:t>
      </w:r>
      <w:r>
        <w:rPr>
          <w:rFonts w:ascii="Arial" w:hAnsi="Arial" w:cs="Arial" w:eastAsia="Arial"/>
          <w:sz w:val="20"/>
        </w:rPr>
        <w:t xml:space="preserve">  taken.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59"/>
        <w:ind w:left="608" w:right="488" w:hanging="360"/>
        <w:jc w:val="left"/>
        <w:rPr>
          <w:sz w:val="20"/>
        </w:rPr>
      </w:pPr>
      <w:r>
        <w:rPr>
          <w:rFonts w:ascii="Arial" w:hAnsi="Arial" w:cs="Arial" w:eastAsia="Arial"/>
          <w:sz w:val="18"/>
        </w:rPr>
        <w:t>j:</w:t>
        <w:tab/>
      </w:r>
      <w:r>
        <w:rPr>
          <w:rFonts w:ascii="Arial" w:hAnsi="Arial" w:cs="Arial" w:eastAsia="Arial"/>
          <w:sz w:val="20"/>
        </w:rPr>
        <w:t>PGx participation is voluntary. For subjects who have provided separate written informed consent to participate in the PGx assessment, a blood sample for genomic DNA will be collected Day 1. If it cannot be collected at the designated time point, it may be collected at a time point after</w:t>
      </w:r>
      <w:r>
        <w:rPr>
          <w:rFonts w:ascii="Arial" w:hAnsi="Arial" w:cs="Arial" w:eastAsia="Arial"/>
          <w:spacing w:val="-30"/>
          <w:sz w:val="20"/>
        </w:rPr>
        <w:t xml:space="preserve">  </w:t>
      </w:r>
      <w:r>
        <w:rPr>
          <w:rFonts w:ascii="Arial" w:hAnsi="Arial" w:cs="Arial" w:eastAsia="Arial"/>
          <w:sz w:val="20"/>
        </w:rPr>
        <w:t xml:space="preserve">  baseline.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1"/>
        <w:ind w:left="248" w:right="0" w:firstLine="0"/>
        <w:jc w:val="left"/>
        <w:rPr>
          <w:sz w:val="20"/>
        </w:rPr>
      </w:pPr>
      <w:r>
        <w:rPr>
          <w:rFonts w:ascii="Arial" w:hAnsi="Arial" w:cs="Arial" w:eastAsia="Arial"/>
          <w:sz w:val="18"/>
        </w:rPr>
        <w:t>k:</w:t>
        <w:tab/>
      </w:r>
      <w:r>
        <w:rPr>
          <w:rFonts w:ascii="Arial" w:hAnsi="Arial" w:cs="Arial" w:eastAsia="Arial"/>
          <w:sz w:val="20"/>
        </w:rPr>
        <w:t>All PD assessments will be performed within ±15 minutes of the scheduled time</w:t>
      </w:r>
      <w:r>
        <w:rPr>
          <w:rFonts w:ascii="Arial" w:hAnsi="Arial" w:cs="Arial" w:eastAsia="Arial"/>
          <w:spacing w:val="2"/>
          <w:sz w:val="20"/>
        </w:rPr>
        <w:t xml:space="preserve">  </w:t>
      </w:r>
      <w:r>
        <w:rPr>
          <w:rFonts w:ascii="Arial" w:hAnsi="Arial" w:cs="Arial" w:eastAsia="Arial"/>
          <w:sz w:val="20"/>
        </w:rPr>
        <w:t xml:space="preserve">  point.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0"/>
        <w:ind w:left="248" w:right="0" w:firstLine="0"/>
        <w:jc w:val="left"/>
        <w:rPr>
          <w:sz w:val="20"/>
        </w:rPr>
      </w:pPr>
      <w:r>
        <w:rPr>
          <w:rFonts w:ascii="Arial" w:hAnsi="Arial" w:cs="Arial" w:eastAsia="Arial"/>
          <w:sz w:val="18"/>
        </w:rPr>
        <w:t>l:</w:t>
        <w:tab/>
      </w:r>
      <w:r>
        <w:rPr>
          <w:rFonts w:ascii="Arial" w:hAnsi="Arial" w:cs="Arial" w:eastAsia="Arial"/>
          <w:sz w:val="20"/>
        </w:rPr>
        <w:t>EEG-IPS assessment will be performed at 5 time points, over an approximately 4-hour time period (0, 1, 2, 3, and 4</w:t>
      </w:r>
      <w:r>
        <w:rPr>
          <w:rFonts w:ascii="Arial" w:hAnsi="Arial" w:cs="Arial" w:eastAsia="Arial"/>
          <w:spacing w:val="-11"/>
          <w:sz w:val="20"/>
        </w:rPr>
        <w:t xml:space="preserve">  </w:t>
      </w:r>
      <w:r>
        <w:rPr>
          <w:rFonts w:ascii="Arial" w:hAnsi="Arial" w:cs="Arial" w:eastAsia="Arial"/>
          <w:sz w:val="20"/>
        </w:rPr>
        <w:t xml:space="preserve">  hours).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line="229" w:lineRule="exact" w:before="60"/>
        <w:ind w:left="248" w:right="0" w:firstLine="0"/>
        <w:jc w:val="left"/>
        <w:rPr>
          <w:sz w:val="20"/>
        </w:rPr>
      </w:pPr>
      <w:r>
        <w:rPr>
          <w:rFonts w:ascii="Arial" w:hAnsi="Arial" w:cs="Arial" w:eastAsia="Arial"/>
          <w:sz w:val="18"/>
        </w:rPr>
        <w:t>m: </w:t>
      </w:r>
      <w:r>
        <w:rPr>
          <w:rFonts w:ascii="Arial" w:hAnsi="Arial" w:cs="Arial" w:eastAsia="Arial"/>
          <w:sz w:val="20"/>
        </w:rPr>
        <w:t xml:space="preserve">  EEG-IPS assessment will be performed 30 minutes to 2 hours predose and repeated at approximately 1, 2, 4, 6, and 8 hours postdose on Days 1, 22, and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line="229" w:lineRule="exact" w:before="0"/>
        <w:ind w:left="608" w:right="0" w:firstLine="0"/>
        <w:jc w:val="left"/>
        <w:rPr>
          <w:sz w:val="20"/>
        </w:rPr>
      </w:pPr>
      <w:r>
        <w:rPr>
          <w:rFonts w:ascii="Arial" w:hAnsi="Arial" w:cs="Arial" w:eastAsia="Arial"/>
          <w:sz w:val="20"/>
        </w:rPr>
        <w:t>43.</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1"/>
        <w:ind w:left="608" w:right="245" w:hanging="360"/>
        <w:jc w:val="left"/>
        <w:rPr>
          <w:sz w:val="20"/>
        </w:rPr>
      </w:pPr>
      <w:r>
        <w:rPr>
          <w:rFonts w:ascii="Arial" w:hAnsi="Arial" w:cs="Arial" w:eastAsia="Arial"/>
          <w:sz w:val="18"/>
        </w:rPr>
        <w:t>n:</w:t>
        <w:tab/>
      </w:r>
      <w:r>
        <w:rPr>
          <w:rFonts w:ascii="Arial" w:hAnsi="Arial" w:cs="Arial" w:eastAsia="Arial"/>
          <w:sz w:val="20"/>
        </w:rPr>
        <w:t>The</w:t>
      </w:r>
      <w:r>
        <w:rPr>
          <w:rFonts w:ascii="Arial" w:hAnsi="Arial" w:cs="Arial" w:eastAsia="Arial"/>
          <w:spacing w:val="-2"/>
          <w:sz w:val="20"/>
        </w:rPr>
        <w:t xml:space="preserve">  </w:t>
      </w:r>
      <w:r>
        <w:rPr>
          <w:rFonts w:ascii="Arial" w:hAnsi="Arial" w:cs="Arial" w:eastAsia="Arial"/>
          <w:sz w:val="20"/>
        </w:rPr>
        <w:t xml:space="preserve">  Bond</w:t>
      </w:r>
      <w:r>
        <w:rPr>
          <w:rFonts w:ascii="Arial" w:hAnsi="Arial" w:cs="Arial" w:eastAsia="Arial"/>
          <w:spacing w:val="-1"/>
          <w:sz w:val="20"/>
        </w:rPr>
        <w:t xml:space="preserve">  </w:t>
      </w:r>
      <w:r>
        <w:rPr>
          <w:rFonts w:ascii="Arial" w:hAnsi="Arial" w:cs="Arial" w:eastAsia="Arial"/>
          <w:sz w:val="20"/>
        </w:rPr>
        <w:t xml:space="preserve">  and</w:t>
      </w:r>
      <w:r>
        <w:rPr>
          <w:rFonts w:ascii="Arial" w:hAnsi="Arial" w:cs="Arial" w:eastAsia="Arial"/>
          <w:spacing w:val="-2"/>
          <w:sz w:val="20"/>
        </w:rPr>
        <w:t xml:space="preserve">  </w:t>
      </w:r>
      <w:r>
        <w:rPr>
          <w:rFonts w:ascii="Arial" w:hAnsi="Arial" w:cs="Arial" w:eastAsia="Arial"/>
          <w:sz w:val="20"/>
        </w:rPr>
        <w:t xml:space="preserve">  Lader</w:t>
      </w:r>
      <w:r>
        <w:rPr>
          <w:rFonts w:ascii="Arial" w:hAnsi="Arial" w:cs="Arial" w:eastAsia="Arial"/>
          <w:spacing w:val="-1"/>
          <w:sz w:val="20"/>
        </w:rPr>
        <w:t xml:space="preserve">  </w:t>
      </w:r>
      <w:r>
        <w:rPr>
          <w:rFonts w:ascii="Arial" w:hAnsi="Arial" w:cs="Arial" w:eastAsia="Arial"/>
          <w:sz w:val="20"/>
        </w:rPr>
        <w:t xml:space="preserve">  VAS</w:t>
      </w:r>
      <w:r>
        <w:rPr>
          <w:rFonts w:ascii="Arial" w:hAnsi="Arial" w:cs="Arial" w:eastAsia="Arial"/>
          <w:spacing w:val="-2"/>
          <w:sz w:val="20"/>
        </w:rPr>
        <w:t xml:space="preserve">  </w:t>
      </w:r>
      <w:r>
        <w:rPr>
          <w:rFonts w:ascii="Arial" w:hAnsi="Arial" w:cs="Arial" w:eastAsia="Arial"/>
          <w:sz w:val="20"/>
        </w:rPr>
        <w:t xml:space="preserve">  for</w:t>
      </w:r>
      <w:r>
        <w:rPr>
          <w:rFonts w:ascii="Arial" w:hAnsi="Arial" w:cs="Arial" w:eastAsia="Arial"/>
          <w:spacing w:val="-1"/>
          <w:sz w:val="20"/>
        </w:rPr>
        <w:t xml:space="preserve">  </w:t>
      </w:r>
      <w:r>
        <w:rPr>
          <w:rFonts w:ascii="Arial" w:hAnsi="Arial" w:cs="Arial" w:eastAsia="Arial"/>
          <w:sz w:val="20"/>
        </w:rPr>
        <w:t xml:space="preserve">  CNS–related</w:t>
      </w:r>
      <w:r>
        <w:rPr>
          <w:rFonts w:ascii="Arial" w:hAnsi="Arial" w:cs="Arial" w:eastAsia="Arial"/>
          <w:spacing w:val="-2"/>
          <w:sz w:val="20"/>
        </w:rPr>
        <w:t xml:space="preserve">  </w:t>
      </w:r>
      <w:r>
        <w:rPr>
          <w:rFonts w:ascii="Arial" w:hAnsi="Arial" w:cs="Arial" w:eastAsia="Arial"/>
          <w:sz w:val="20"/>
        </w:rPr>
        <w:t xml:space="preserve">  sedation</w:t>
      </w:r>
      <w:r>
        <w:rPr>
          <w:rFonts w:ascii="Arial" w:hAnsi="Arial" w:cs="Arial" w:eastAsia="Arial"/>
          <w:spacing w:val="-1"/>
          <w:sz w:val="20"/>
        </w:rPr>
        <w:t xml:space="preserve">  </w:t>
      </w:r>
      <w:r>
        <w:rPr>
          <w:rFonts w:ascii="Arial" w:hAnsi="Arial" w:cs="Arial" w:eastAsia="Arial"/>
          <w:sz w:val="20"/>
        </w:rPr>
        <w:t xml:space="preserve">  side</w:t>
      </w:r>
      <w:r>
        <w:rPr>
          <w:rFonts w:ascii="Arial" w:hAnsi="Arial" w:cs="Arial" w:eastAsia="Arial"/>
          <w:spacing w:val="-2"/>
          <w:sz w:val="20"/>
        </w:rPr>
        <w:t xml:space="preserve">  </w:t>
      </w:r>
      <w:r>
        <w:rPr>
          <w:rFonts w:ascii="Arial" w:hAnsi="Arial" w:cs="Arial" w:eastAsia="Arial"/>
          <w:sz w:val="20"/>
        </w:rPr>
        <w:t xml:space="preserve">  effects</w:t>
      </w:r>
      <w:r>
        <w:rPr>
          <w:rFonts w:ascii="Arial" w:hAnsi="Arial" w:cs="Arial" w:eastAsia="Arial"/>
          <w:spacing w:val="-1"/>
          <w:sz w:val="20"/>
        </w:rPr>
        <w:t xml:space="preserve">  </w:t>
      </w:r>
      <w:r>
        <w:rPr>
          <w:rFonts w:ascii="Arial" w:hAnsi="Arial" w:cs="Arial" w:eastAsia="Arial"/>
          <w:sz w:val="20"/>
        </w:rPr>
        <w:t xml:space="preserve">  will</w:t>
      </w:r>
      <w:r>
        <w:rPr>
          <w:rFonts w:ascii="Arial" w:hAnsi="Arial" w:cs="Arial" w:eastAsia="Arial"/>
          <w:spacing w:val="-2"/>
          <w:sz w:val="20"/>
        </w:rPr>
        <w:t xml:space="preserve">  </w:t>
      </w:r>
      <w:r>
        <w:rPr>
          <w:rFonts w:ascii="Arial" w:hAnsi="Arial" w:cs="Arial" w:eastAsia="Arial"/>
          <w:sz w:val="20"/>
        </w:rPr>
        <w:t xml:space="preserve">  be</w:t>
      </w:r>
      <w:r>
        <w:rPr>
          <w:rFonts w:ascii="Arial" w:hAnsi="Arial" w:cs="Arial" w:eastAsia="Arial"/>
          <w:spacing w:val="-1"/>
          <w:sz w:val="20"/>
        </w:rPr>
        <w:t xml:space="preserve">  </w:t>
      </w:r>
      <w:r>
        <w:rPr>
          <w:rFonts w:ascii="Arial" w:hAnsi="Arial" w:cs="Arial" w:eastAsia="Arial"/>
          <w:sz w:val="20"/>
        </w:rPr>
        <w:t xml:space="preserve">  measured</w:t>
      </w:r>
      <w:r>
        <w:rPr>
          <w:rFonts w:ascii="Arial" w:hAnsi="Arial" w:cs="Arial" w:eastAsia="Arial"/>
          <w:spacing w:val="-2"/>
          <w:sz w:val="20"/>
        </w:rPr>
        <w:t xml:space="preserve">  </w:t>
      </w:r>
      <w:r>
        <w:rPr>
          <w:rFonts w:ascii="Arial" w:hAnsi="Arial" w:cs="Arial" w:eastAsia="Arial"/>
          <w:sz w:val="20"/>
        </w:rPr>
        <w:t xml:space="preserve">  from</w:t>
      </w:r>
      <w:r>
        <w:rPr>
          <w:rFonts w:ascii="Arial" w:hAnsi="Arial" w:cs="Arial" w:eastAsia="Arial"/>
          <w:spacing w:val="-1"/>
          <w:sz w:val="20"/>
        </w:rPr>
        <w:t xml:space="preserve">  </w:t>
      </w:r>
      <w:r>
        <w:rPr>
          <w:rFonts w:ascii="Arial" w:hAnsi="Arial" w:cs="Arial" w:eastAsia="Arial"/>
          <w:sz w:val="20"/>
        </w:rPr>
        <w:t xml:space="preserve">  each</w:t>
      </w:r>
      <w:r>
        <w:rPr>
          <w:rFonts w:ascii="Arial" w:hAnsi="Arial" w:cs="Arial" w:eastAsia="Arial"/>
          <w:spacing w:val="-2"/>
          <w:sz w:val="20"/>
        </w:rPr>
        <w:t xml:space="preserve">  </w:t>
      </w:r>
      <w:r>
        <w:rPr>
          <w:rFonts w:ascii="Arial" w:hAnsi="Arial" w:cs="Arial" w:eastAsia="Arial"/>
          <w:sz w:val="20"/>
        </w:rPr>
        <w:t xml:space="preserve">  subject</w:t>
      </w:r>
      <w:r>
        <w:rPr>
          <w:rFonts w:ascii="Arial" w:hAnsi="Arial" w:cs="Arial" w:eastAsia="Arial"/>
          <w:spacing w:val="-1"/>
          <w:sz w:val="20"/>
        </w:rPr>
        <w:t xml:space="preserve">  </w:t>
      </w:r>
      <w:r>
        <w:rPr>
          <w:rFonts w:ascii="Arial" w:hAnsi="Arial" w:cs="Arial" w:eastAsia="Arial"/>
          <w:sz w:val="20"/>
        </w:rPr>
        <w:t xml:space="preserve">  at</w:t>
      </w:r>
      <w:r>
        <w:rPr>
          <w:rFonts w:ascii="Arial" w:hAnsi="Arial" w:cs="Arial" w:eastAsia="Arial"/>
          <w:spacing w:val="-2"/>
          <w:sz w:val="20"/>
        </w:rPr>
        <w:t xml:space="preserve">  </w:t>
      </w:r>
      <w:r>
        <w:rPr>
          <w:rFonts w:ascii="Arial" w:hAnsi="Arial" w:cs="Arial" w:eastAsia="Arial"/>
          <w:sz w:val="20"/>
        </w:rPr>
        <w:t xml:space="preserve">  predose,</w:t>
      </w:r>
      <w:r>
        <w:rPr>
          <w:rFonts w:ascii="Arial" w:hAnsi="Arial" w:cs="Arial" w:eastAsia="Arial"/>
          <w:spacing w:val="-1"/>
          <w:sz w:val="20"/>
        </w:rPr>
        <w:t xml:space="preserve">  </w:t>
      </w:r>
      <w:r>
        <w:rPr>
          <w:rFonts w:ascii="Arial" w:hAnsi="Arial" w:cs="Arial" w:eastAsia="Arial"/>
          <w:sz w:val="20"/>
        </w:rPr>
        <w:t xml:space="preserve">  1,</w:t>
      </w:r>
      <w:r>
        <w:rPr>
          <w:rFonts w:ascii="Arial" w:hAnsi="Arial" w:cs="Arial" w:eastAsia="Arial"/>
          <w:spacing w:val="-2"/>
          <w:sz w:val="20"/>
        </w:rPr>
        <w:t xml:space="preserve">  </w:t>
      </w:r>
      <w:r>
        <w:rPr>
          <w:rFonts w:ascii="Arial" w:hAnsi="Arial" w:cs="Arial" w:eastAsia="Arial"/>
          <w:sz w:val="20"/>
        </w:rPr>
        <w:t xml:space="preserve">  2,</w:t>
      </w:r>
      <w:r>
        <w:rPr>
          <w:rFonts w:ascii="Arial" w:hAnsi="Arial" w:cs="Arial" w:eastAsia="Arial"/>
          <w:spacing w:val="-1"/>
          <w:sz w:val="20"/>
        </w:rPr>
        <w:t xml:space="preserve">  </w:t>
      </w:r>
      <w:r>
        <w:rPr>
          <w:rFonts w:ascii="Arial" w:hAnsi="Arial" w:cs="Arial" w:eastAsia="Arial"/>
          <w:sz w:val="20"/>
        </w:rPr>
        <w:t xml:space="preserve">  4,</w:t>
      </w:r>
      <w:r>
        <w:rPr>
          <w:rFonts w:ascii="Arial" w:hAnsi="Arial" w:cs="Arial" w:eastAsia="Arial"/>
          <w:spacing w:val="-2"/>
          <w:sz w:val="20"/>
        </w:rPr>
        <w:t xml:space="preserve">  </w:t>
      </w:r>
      <w:r>
        <w:rPr>
          <w:rFonts w:ascii="Arial" w:hAnsi="Arial" w:cs="Arial" w:eastAsia="Arial"/>
          <w:sz w:val="20"/>
        </w:rPr>
        <w:t xml:space="preserve">  6,</w:t>
      </w:r>
      <w:r>
        <w:rPr>
          <w:rFonts w:ascii="Arial" w:hAnsi="Arial" w:cs="Arial" w:eastAsia="Arial"/>
          <w:spacing w:val="-1"/>
          <w:sz w:val="20"/>
        </w:rPr>
        <w:t xml:space="preserve">  </w:t>
      </w:r>
      <w:r>
        <w:rPr>
          <w:rFonts w:ascii="Arial" w:hAnsi="Arial" w:cs="Arial" w:eastAsia="Arial"/>
          <w:sz w:val="20"/>
        </w:rPr>
        <w:t xml:space="preserve">  and</w:t>
      </w:r>
      <w:r>
        <w:rPr>
          <w:rFonts w:ascii="Arial" w:hAnsi="Arial" w:cs="Arial" w:eastAsia="Arial"/>
          <w:spacing w:val="-2"/>
          <w:sz w:val="20"/>
        </w:rPr>
        <w:t xml:space="preserve">  </w:t>
      </w:r>
      <w:r>
        <w:rPr>
          <w:rFonts w:ascii="Arial" w:hAnsi="Arial" w:cs="Arial" w:eastAsia="Arial"/>
          <w:sz w:val="20"/>
        </w:rPr>
        <w:t xml:space="preserve">  8</w:t>
      </w:r>
      <w:r>
        <w:rPr>
          <w:rFonts w:ascii="Arial" w:hAnsi="Arial" w:cs="Arial" w:eastAsia="Arial"/>
          <w:spacing w:val="-1"/>
          <w:sz w:val="20"/>
        </w:rPr>
        <w:t xml:space="preserve">  </w:t>
      </w:r>
      <w:r>
        <w:rPr>
          <w:rFonts w:ascii="Arial" w:hAnsi="Arial" w:cs="Arial" w:eastAsia="Arial"/>
          <w:sz w:val="20"/>
        </w:rPr>
        <w:t xml:space="preserve">  hours</w:t>
      </w:r>
      <w:r>
        <w:rPr>
          <w:rFonts w:ascii="Arial" w:hAnsi="Arial" w:cs="Arial" w:eastAsia="Arial"/>
          <w:spacing w:val="-2"/>
          <w:sz w:val="20"/>
        </w:rPr>
        <w:t xml:space="preserve">  </w:t>
      </w:r>
      <w:r>
        <w:rPr>
          <w:rFonts w:ascii="Arial" w:hAnsi="Arial" w:cs="Arial" w:eastAsia="Arial"/>
          <w:sz w:val="20"/>
        </w:rPr>
        <w:t xml:space="preserve">  postdose</w:t>
      </w:r>
      <w:r>
        <w:rPr>
          <w:rFonts w:ascii="Arial" w:hAnsi="Arial" w:cs="Arial" w:eastAsia="Arial"/>
          <w:spacing w:val="-1"/>
          <w:sz w:val="20"/>
        </w:rPr>
        <w:t xml:space="preserve">  </w:t>
      </w:r>
      <w:r>
        <w:rPr>
          <w:rFonts w:ascii="Arial" w:hAnsi="Arial" w:cs="Arial" w:eastAsia="Arial"/>
          <w:sz w:val="20"/>
        </w:rPr>
        <w:t xml:space="preserve">  on</w:t>
      </w:r>
      <w:r>
        <w:rPr>
          <w:rFonts w:ascii="Arial" w:hAnsi="Arial" w:cs="Arial" w:eastAsia="Arial"/>
          <w:spacing w:val="-2"/>
          <w:sz w:val="20"/>
        </w:rPr>
        <w:t xml:space="preserve">  </w:t>
      </w:r>
      <w:r>
        <w:rPr>
          <w:rFonts w:ascii="Arial" w:hAnsi="Arial" w:cs="Arial" w:eastAsia="Arial"/>
          <w:sz w:val="20"/>
        </w:rPr>
        <w:t xml:space="preserve">  Days</w:t>
      </w:r>
      <w:r>
        <w:rPr>
          <w:rFonts w:ascii="Arial" w:hAnsi="Arial" w:cs="Arial" w:eastAsia="Arial"/>
          <w:spacing w:val="-1"/>
          <w:sz w:val="20"/>
        </w:rPr>
        <w:t xml:space="preserve">  </w:t>
      </w:r>
      <w:r>
        <w:rPr>
          <w:rFonts w:ascii="Arial" w:hAnsi="Arial" w:cs="Arial" w:eastAsia="Arial"/>
          <w:sz w:val="20"/>
        </w:rPr>
        <w:t xml:space="preserve">  1, 22, and</w:t>
      </w:r>
      <w:r>
        <w:rPr>
          <w:rFonts w:ascii="Arial" w:hAnsi="Arial" w:cs="Arial" w:eastAsia="Arial"/>
          <w:spacing w:val="-1"/>
          <w:sz w:val="20"/>
        </w:rPr>
        <w:t xml:space="preserve">  </w:t>
      </w:r>
      <w:r>
        <w:rPr>
          <w:rFonts w:ascii="Arial" w:hAnsi="Arial" w:cs="Arial" w:eastAsia="Arial"/>
          <w:sz w:val="20"/>
        </w:rPr>
        <w:t xml:space="preserve">  43.</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after="0"/>
        <w:jc w:val="left"/>
        <w:rPr>
          <w:sz w:val="20"/>
        </w:rPr>
        <w:sectPr>
          <w:pgSz w:w="15840" w:h="12240" w:orient="landscape"/>
          <w:pgMar w:header="953" w:footer="1220" w:top="1200" w:bottom="1420" w:left="1280" w:right="1320"/>
        </w:sect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302"/>
      </w:pPr>
      <w:hyperlink w:history="true" w:anchor="_bookmark79">
        <w:r>
          <w:rPr>
            <w:rFonts w:ascii="Arial" w:hAnsi="Arial" w:cs="Arial" w:eastAsia="Arial"/>
            <w:color w:val="0000FF"/>
          </w:rPr>
          <w:t>Table 6</w:t>
        </w:r>
      </w:hyperlink>
      <w:r>
        <w:rPr>
          <w:rFonts w:ascii="Arial" w:hAnsi="Arial" w:cs="Arial" w:eastAsia="Arial"/>
          <w:color w:val="0000FF"/>
        </w:rPr>
        <w:t xml:space="preserve">  </w:t>
      </w:r>
      <w:r>
        <w:rPr>
          <w:rFonts w:ascii="Arial" w:hAnsi="Arial" w:cs="Arial" w:eastAsia="Arial"/>
        </w:rPr>
        <w:t xml:space="preserve">  presents the blood sampling schedule for pharmacokinetic assessments. In case of early discontinuation, a PK sample will be taken.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6"/>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tabs>
          <w:tab w:pos="1771" w:val="left" w:leader="none"/>
        </w:tabs>
        <w:ind w:left="331"/>
        <w:rPr>
          <w:rFonts w:ascii="Arial"/>
        </w:rPr>
      </w:pPr>
      <w:bookmarkStart w:name="_bookmark79" w:id="213"/>
      <w:bookmarkEnd w:id="213"/>
      <w:r>
        <w:rPr>
          <w:rFonts w:ascii="Arial" w:hAnsi="Arial" w:cs="Arial" w:eastAsia="Arial"/>
          <w:b w:val="0"/>
        </w:rPr>
      </w:r>
      <w:r>
        <w:rPr>
          <w:rFonts w:ascii="Arial" w:hAnsi="Arial" w:cs="Arial" w:eastAsia="Arial"/>
        </w:rPr>
        <w:t>Table</w:t>
      </w:r>
      <w:r>
        <w:rPr>
          <w:rFonts w:ascii="Arial" w:hAnsi="Arial" w:cs="Arial" w:eastAsia="Arial"/>
          <w:spacing w:val="1"/>
        </w:rPr>
        <w:t xml:space="preserve">  </w:t>
      </w:r>
      <w:r>
        <w:rPr>
          <w:rFonts w:ascii="Arial" w:hAnsi="Arial" w:cs="Arial" w:eastAsia="Arial"/>
        </w:rPr>
        <w:t xml:space="preserve">  6</w:t>
        <w:tab/>
        <w:t>Blood Sampling Schedule for Pharmacokinetic</w:t>
      </w:r>
      <w:r>
        <w:rPr>
          <w:rFonts w:ascii="Arial" w:hAnsi="Arial" w:cs="Arial" w:eastAsia="Arial"/>
          <w:spacing w:val="-3"/>
        </w:rPr>
        <w:t xml:space="preserve">  </w:t>
      </w:r>
      <w:r>
        <w:rPr>
          <w:rFonts w:ascii="Arial" w:hAnsi="Arial" w:cs="Arial" w:eastAsia="Arial"/>
        </w:rPr>
        <w:t xml:space="preserve">  Assessments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after="1"/>
        <w:rPr>
          <w:rFonts w:ascii="Arial"/>
          <w:b/>
          <w:sz w:val="10"/>
        </w:rPr>
      </w:pPr>
    </w:p>
    <w:tbl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tblPr>
        <w:tblW w:w="0" w:type="auto"/>
        <w:jc w:val="left"/>
        <w:tblInd w:w="2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91"/>
        <w:gridCol w:w="3482"/>
        <w:gridCol w:w="2959"/>
      </w:tblGrid>
      <w:tr>
        <w:trPr>
          <w:trHeight w:val="309" w:hRule="atLeast"/>
        </w:trPr>
        <w:tc>
          <w:tcPr>
            <w:tcW w:w="2491" w:type="dxa"/>
          </w:tcPr>
          <w:p>
            <w:pPr>
              <w:pStyle w:val="TableParagraph"/>
              <w:spacing w:before="38"/>
              <w:ind w:left="57"/>
              <w:rPr>
                <w:b/>
                <w:sz w:val="20"/>
              </w:rPr>
            </w:pPr>
            <w:r>
              <w:rPr>
                <w:rFonts w:ascii="Arial" w:hAnsi="Arial" w:cs="Arial" w:eastAsia="Arial"/>
                <w:b/>
                <w:sz w:val="20"/>
              </w:rPr>
              <w:t>Days</w:t>
            </w:r>
          </w:p>
        </w:tc>
        <w:tc>
          <w:tcPr>
            <w:tcW w:w="3482" w:type="dxa"/>
          </w:tcPr>
          <w:p>
            <w:pPr>
              <w:pStyle w:val="TableParagraph"/>
              <w:spacing w:before="38"/>
              <w:ind w:left="176" w:right="166"/>
              <w:jc w:val="center"/>
              <w:rPr>
                <w:b/>
                <w:sz w:val="20"/>
              </w:rPr>
            </w:pPr>
            <w:r>
              <w:rPr>
                <w:rFonts w:ascii="Arial" w:hAnsi="Arial" w:cs="Arial" w:eastAsia="Arial"/>
                <w:b/>
                <w:sz w:val="20"/>
              </w:rPr>
              <w:t>Time Relative to the Administration</w:t>
            </w:r>
          </w:p>
        </w:tc>
        <w:tc>
          <w:tcPr>
            <w:tcW w:w="2959" w:type="dxa"/>
          </w:tcPr>
          <w:p>
            <w:pPr>
              <w:pStyle w:val="TableParagraph"/>
              <w:spacing w:before="38"/>
              <w:ind w:left="350" w:right="347"/>
              <w:jc w:val="center"/>
              <w:rPr>
                <w:b/>
                <w:sz w:val="20"/>
              </w:rPr>
            </w:pPr>
            <w:r>
              <w:rPr>
                <w:rFonts w:ascii="Arial" w:hAnsi="Arial" w:cs="Arial" w:eastAsia="Arial"/>
                <w:b/>
                <w:sz w:val="20"/>
              </w:rPr>
              <w:t>Acceptable Time Window</w:t>
            </w:r>
          </w:p>
        </w:tc>
      </w:tr>
      <w:tr>
        <w:trPr>
          <w:trHeight w:val="311" w:hRule="atLeast"/>
        </w:trPr>
        <w:tc>
          <w:tcPr>
            <w:tcW w:w="2491" w:type="dxa"/>
            <w:vMerge w:val="restart"/>
          </w:tcPr>
          <w:p>
            <w:pPr>
              <w:pStyle w:val="TableParagraph"/>
              <w:spacing w:before="1"/>
              <w:rPr>
                <w:rFonts w:ascii="Arial"/>
                <w:b/>
                <w:sz w:val="32"/>
              </w:rPr>
            </w:pPr>
          </w:p>
          <w:p>
            <w:pPr>
              <w:pStyle w:val="TableParagraph"/>
              <w:spacing w:before="1"/>
              <w:ind w:left="57"/>
              <w:rPr>
                <w:sz w:val="20"/>
              </w:rPr>
            </w:pPr>
            <w:r>
              <w:rPr>
                <w:rFonts w:ascii="Arial" w:hAnsi="Arial" w:cs="Arial" w:eastAsia="Arial"/>
                <w:sz w:val="20"/>
              </w:rPr>
              <w:t>Day 1 (Visit 2),</w:t>
            </w:r>
          </w:p>
          <w:p>
            <w:pPr>
              <w:pStyle w:val="TableParagraph"/>
              <w:spacing w:before="39"/>
              <w:ind w:left="57"/>
              <w:rPr>
                <w:sz w:val="20"/>
              </w:rPr>
            </w:pPr>
            <w:r>
              <w:rPr>
                <w:rFonts w:ascii="Arial" w:hAnsi="Arial" w:cs="Arial" w:eastAsia="Arial"/>
                <w:sz w:val="20"/>
              </w:rPr>
              <w:t>Day 22 (Visit 3) (</w:t>
            </w:r>
            <w:r>
              <w:rPr>
                <w:rFonts w:ascii="Arial" w:hAnsi="Arial" w:cs="Arial" w:eastAsia="Arial"/>
                <w:sz w:val="22"/>
              </w:rPr>
              <w:t>±</w:t>
            </w:r>
            <w:r>
              <w:rPr>
                <w:rFonts w:ascii="Arial" w:hAnsi="Arial" w:cs="Arial" w:eastAsia="Arial"/>
                <w:sz w:val="20"/>
              </w:rPr>
              <w:t>3 days),</w:t>
            </w:r>
          </w:p>
          <w:p>
            <w:pPr>
              <w:pStyle w:val="TableParagraph"/>
              <w:spacing w:before="40"/>
              <w:ind w:left="57"/>
              <w:rPr>
                <w:sz w:val="20"/>
              </w:rPr>
            </w:pPr>
            <w:r>
              <w:rPr>
                <w:rFonts w:ascii="Arial" w:hAnsi="Arial" w:cs="Arial" w:eastAsia="Arial"/>
                <w:sz w:val="20"/>
              </w:rPr>
              <w:t>Day 43 (Visit 4) (</w:t>
            </w:r>
            <w:r>
              <w:rPr>
                <w:rFonts w:ascii="Arial" w:hAnsi="Arial" w:cs="Arial" w:eastAsia="Arial"/>
                <w:sz w:val="22"/>
              </w:rPr>
              <w:t>±</w:t>
            </w:r>
            <w:r>
              <w:rPr>
                <w:rFonts w:ascii="Arial" w:hAnsi="Arial" w:cs="Arial" w:eastAsia="Arial"/>
                <w:sz w:val="20"/>
              </w:rPr>
              <w:t>3 days)</w:t>
            </w:r>
          </w:p>
        </w:tc>
        <w:tc>
          <w:tcPr>
            <w:tcW w:w="3482" w:type="dxa"/>
          </w:tcPr>
          <w:p>
            <w:pPr>
              <w:pStyle w:val="TableParagraph"/>
              <w:spacing w:before="34"/>
              <w:ind w:left="173" w:right="166"/>
              <w:jc w:val="center"/>
              <w:rPr>
                <w:sz w:val="20"/>
              </w:rPr>
            </w:pPr>
            <w:r>
              <w:rPr>
                <w:rFonts w:ascii="Arial" w:hAnsi="Arial" w:cs="Arial" w:eastAsia="Arial"/>
                <w:sz w:val="20"/>
              </w:rPr>
              <w:t>Predose</w:t>
            </w:r>
          </w:p>
        </w:tc>
        <w:tc>
          <w:tcPr>
            <w:tcW w:w="2959" w:type="dxa"/>
          </w:tcPr>
          <w:p>
            <w:pPr>
              <w:pStyle w:val="TableParagraph"/>
              <w:spacing w:before="34"/>
              <w:ind w:left="350" w:right="344"/>
              <w:jc w:val="center"/>
              <w:rPr>
                <w:sz w:val="20"/>
              </w:rPr>
            </w:pPr>
            <w:r>
              <w:rPr>
                <w:rFonts w:ascii="Arial" w:hAnsi="Arial" w:cs="Arial" w:eastAsia="Arial"/>
                <w:sz w:val="20"/>
              </w:rPr>
              <w:t>–2 hours</w:t>
            </w:r>
          </w:p>
        </w:tc>
      </w:tr>
      <w:tr>
        <w:trPr>
          <w:trHeight w:val="309" w:hRule="atLeast"/>
        </w:trPr>
        <w:tc>
          <w:tcPr>
            <w:tcW w:w="2491" w:type="dxa"/>
            <w:vMerge/>
            <w:tcBorders>
              <w:top w:val="nil"/>
            </w:tcBorders>
          </w:tcPr>
          <w:p>
            <w:pPr>
              <w:rPr>
                <w:sz w:val="2"/>
                <w:szCs w:val="2"/>
              </w:rPr>
            </w:pPr>
          </w:p>
        </w:tc>
        <w:tc>
          <w:tcPr>
            <w:tcW w:w="3482" w:type="dxa"/>
          </w:tcPr>
          <w:p>
            <w:pPr>
              <w:pStyle w:val="TableParagraph"/>
              <w:spacing w:before="34"/>
              <w:ind w:left="176" w:right="165"/>
              <w:jc w:val="center"/>
              <w:rPr>
                <w:sz w:val="20"/>
              </w:rPr>
            </w:pPr>
            <w:r>
              <w:rPr>
                <w:rFonts w:ascii="Arial" w:hAnsi="Arial" w:cs="Arial" w:eastAsia="Arial"/>
                <w:sz w:val="20"/>
              </w:rPr>
              <w:t>1 and 2 hours</w:t>
            </w:r>
          </w:p>
        </w:tc>
        <w:tc>
          <w:tcPr>
            <w:tcW w:w="2959" w:type="dxa"/>
          </w:tcPr>
          <w:p>
            <w:pPr>
              <w:pStyle w:val="TableParagraph"/>
              <w:spacing w:before="34"/>
              <w:ind w:left="350" w:right="344"/>
              <w:jc w:val="center"/>
              <w:rPr>
                <w:sz w:val="20"/>
              </w:rPr>
            </w:pPr>
            <w:r>
              <w:rPr>
                <w:rFonts w:ascii="Arial" w:hAnsi="Arial" w:cs="Arial" w:eastAsia="Arial"/>
                <w:sz w:val="20"/>
              </w:rPr>
              <w:t>±5 minutes</w:t>
            </w:r>
          </w:p>
        </w:tc>
      </w:tr>
      <w:tr>
        <w:trPr>
          <w:trHeight w:val="926" w:hRule="atLeast"/>
        </w:trPr>
        <w:tc>
          <w:tcPr>
            <w:tcW w:w="2491" w:type="dxa"/>
            <w:vMerge/>
            <w:tcBorders>
              <w:top w:val="nil"/>
            </w:tcBorders>
          </w:tcPr>
          <w:p>
            <w:pPr>
              <w:rPr>
                <w:sz w:val="2"/>
                <w:szCs w:val="2"/>
              </w:rPr>
            </w:pPr>
          </w:p>
        </w:tc>
        <w:tc>
          <w:tcPr>
            <w:tcW w:w="3482" w:type="dxa"/>
          </w:tcPr>
          <w:p>
            <w:pPr>
              <w:pStyle w:val="TableParagraph"/>
              <w:spacing w:before="7"/>
              <w:rPr>
                <w:rFonts w:ascii="Arial"/>
                <w:b/>
                <w:sz w:val="29"/>
              </w:rPr>
            </w:pPr>
          </w:p>
          <w:p>
            <w:pPr>
              <w:pStyle w:val="TableParagraph"/>
              <w:ind w:left="172" w:right="166"/>
              <w:jc w:val="center"/>
              <w:rPr>
                <w:sz w:val="20"/>
              </w:rPr>
            </w:pPr>
            <w:r>
              <w:rPr>
                <w:rFonts w:ascii="Arial" w:hAnsi="Arial" w:cs="Arial" w:eastAsia="Arial"/>
                <w:sz w:val="20"/>
              </w:rPr>
              <w:t>4, 6, and 8 hours</w:t>
            </w:r>
          </w:p>
        </w:tc>
        <w:tc>
          <w:tcPr>
            <w:tcW w:w="2959" w:type="dxa"/>
          </w:tcPr>
          <w:p>
            <w:pPr>
              <w:pStyle w:val="TableParagraph"/>
              <w:spacing w:before="7"/>
              <w:rPr>
                <w:rFonts w:ascii="Arial"/>
                <w:b/>
                <w:sz w:val="29"/>
              </w:rPr>
            </w:pPr>
          </w:p>
          <w:p>
            <w:pPr>
              <w:pStyle w:val="TableParagraph"/>
              <w:ind w:left="350" w:right="344"/>
              <w:jc w:val="center"/>
              <w:rPr>
                <w:sz w:val="20"/>
              </w:rPr>
            </w:pPr>
            <w:r>
              <w:rPr>
                <w:rFonts w:ascii="Arial" w:hAnsi="Arial" w:cs="Arial" w:eastAsia="Arial"/>
                <w:sz w:val="20"/>
              </w:rPr>
              <w:t>±15 minutes</w:t>
            </w:r>
          </w:p>
        </w:tc>
      </w:tr>
    </w:tbl>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1439" w:val="left" w:leader="none"/>
        </w:tabs>
        <w:spacing w:before="57"/>
        <w:ind w:left="240" w:right="0" w:firstLine="0"/>
        <w:jc w:val="left"/>
        <w:rPr>
          <w:rFonts w:ascii="Arial"/>
          <w:sz w:val="22"/>
        </w:rPr>
      </w:pPr>
      <w:bookmarkStart w:name="9.5.2.2 Description of Procedures/Assess" w:id="214"/>
      <w:bookmarkEnd w:id="214"/>
      <w:r>
        <w:rPr>
          <w:rFonts w:ascii="Arial" w:hAnsi="Arial" w:cs="Arial" w:eastAsia="Arial"/>
        </w:rPr>
      </w:r>
      <w:bookmarkStart w:name="_bookmark80" w:id="215"/>
      <w:bookmarkEnd w:id="215"/>
      <w:r>
        <w:rPr>
          <w:rFonts w:ascii="Arial" w:hAnsi="Arial" w:cs="Arial" w:eastAsia="Arial"/>
        </w:rPr>
      </w:r>
      <w:r>
        <w:rPr>
          <w:rFonts w:ascii="Arial" w:hAnsi="Arial" w:cs="Arial" w:eastAsia="Arial"/>
          <w:sz w:val="22"/>
        </w:rPr>
        <w:t>9.5.2.2</w:t>
        <w:tab/>
        <w:t>Description of Procedures/Assessments</w:t>
      </w:r>
      <w:r>
        <w:rPr>
          <w:rFonts w:ascii="Arial" w:hAnsi="Arial" w:cs="Arial" w:eastAsia="Arial"/>
          <w:spacing w:val="-5"/>
          <w:sz w:val="22"/>
        </w:rPr>
        <w:t xml:space="preserve">  </w:t>
      </w:r>
      <w:r>
        <w:rPr>
          <w:rFonts w:ascii="Arial" w:hAnsi="Arial" w:cs="Arial" w:eastAsia="Arial"/>
          <w:sz w:val="22"/>
        </w:rPr>
        <w:t xml:space="preserve">  Schedule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pPr>
      <w:r>
        <w:rPr>
          <w:rFonts w:ascii="Arial" w:hAnsi="Arial" w:cs="Arial" w:eastAsia="Arial"/>
        </w:rPr>
        <w:t>The scheduling of study procedures and assessments is shown in </w:t>
      </w:r>
      <w:hyperlink w:history="true" w:anchor="_bookmark78">
        <w:r>
          <w:rPr>
            <w:rFonts w:ascii="Arial" w:hAnsi="Arial" w:cs="Arial" w:eastAsia="Arial"/>
            <w:color w:val="0000FF"/>
          </w:rPr>
          <w:t xml:space="preserve">  Table 5</w:t>
        </w:r>
      </w:hyperlink>
      <w:r>
        <w:rPr>
          <w:rFonts w:ascii="Arial" w:hAnsi="Arial" w:cs="Arial" w:eastAsia="Arial"/>
        </w:rPr>
        <w: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20"/>
      </w:pPr>
      <w:hyperlink w:history="true" w:anchor="_bookmark78">
        <w:r>
          <w:rPr>
            <w:rFonts w:ascii="Arial" w:hAnsi="Arial" w:cs="Arial" w:eastAsia="Arial"/>
            <w:color w:val="0000FF"/>
          </w:rPr>
          <w:t>Table 5</w:t>
        </w:r>
      </w:hyperlink>
      <w:r>
        <w:rPr>
          <w:rFonts w:ascii="Arial" w:hAnsi="Arial" w:cs="Arial" w:eastAsia="Arial"/>
          <w:color w:val="0000FF"/>
        </w:rPr>
        <w:t xml:space="preserve">  </w:t>
      </w:r>
      <w:r>
        <w:rPr>
          <w:rFonts w:ascii="Arial" w:hAnsi="Arial" w:cs="Arial" w:eastAsia="Arial"/>
        </w:rPr>
        <w:t xml:space="preserve">  presents the schedule of procedures/assessments for the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after="0"/>
        <w:sectPr>
          <w:pgSz w:w="12240" w:h="15840"/>
          <w:pgMar w:header="722" w:footer="1160" w:top="1340" w:bottom="1360" w:left="1580" w:right="1220"/>
        </w:sect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7"/>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tabs>
          <w:tab w:pos="1599" w:val="left" w:leader="none"/>
        </w:tabs>
        <w:spacing w:before="92"/>
        <w:ind w:left="160"/>
        <w:rPr>
          <w:rFonts w:ascii="Arial"/>
        </w:rPr>
      </w:pPr>
      <w:bookmarkStart w:name="_bookmark78" w:id="212"/>
      <w:bookmarkEnd w:id="212"/>
      <w:r>
        <w:rPr>
          <w:rFonts w:ascii="Arial" w:hAnsi="Arial" w:cs="Arial" w:eastAsia="Arial"/>
          <w:b w:val="0"/>
        </w:rPr>
      </w:r>
      <w:r>
        <w:rPr>
          <w:rFonts w:ascii="Arial" w:hAnsi="Arial" w:cs="Arial" w:eastAsia="Arial"/>
        </w:rPr>
        <w:t>Table</w:t>
      </w:r>
      <w:r>
        <w:rPr>
          <w:rFonts w:ascii="Arial" w:hAnsi="Arial" w:cs="Arial" w:eastAsia="Arial"/>
          <w:spacing w:val="1"/>
        </w:rPr>
        <w:t xml:space="preserve">  </w:t>
      </w:r>
      <w:r>
        <w:rPr>
          <w:rFonts w:ascii="Arial" w:hAnsi="Arial" w:cs="Arial" w:eastAsia="Arial"/>
        </w:rPr>
        <w:t xml:space="preserve">  5</w:t>
        <w:tab/>
        <w:t>Schedule of Procedures/Assessments in Study</w:t>
      </w:r>
      <w:r>
        <w:rPr>
          <w:rFonts w:ascii="Arial" w:hAnsi="Arial" w:cs="Arial" w:eastAsia="Arial"/>
          <w:spacing w:val="-2"/>
        </w:rPr>
        <w:t xml:space="preserve">  </w:t>
      </w:r>
      <w:r>
        <w:rPr>
          <w:rFonts w:ascii="Arial" w:hAnsi="Arial" w:cs="Arial" w:eastAsia="Arial"/>
        </w:rPr>
        <w:t xml:space="preserve">  E2730-A001-201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rFonts w:ascii="Arial"/>
          <w:b/>
          <w:sz w:val="10"/>
        </w:rPr>
      </w:pPr>
    </w:p>
    <w:tbl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35"/>
        <w:gridCol w:w="1925"/>
        <w:gridCol w:w="1162"/>
        <w:gridCol w:w="1162"/>
        <w:gridCol w:w="1160"/>
        <w:gridCol w:w="1714"/>
        <w:gridCol w:w="2360"/>
      </w:tblGrid>
      <w:tr>
        <w:trPr>
          <w:trHeight w:val="350" w:hRule="atLeast"/>
        </w:trPr>
        <w:tc>
          <w:tcPr>
            <w:tcW w:w="3535" w:type="dxa"/>
          </w:tcPr>
          <w:p>
            <w:pPr>
              <w:pStyle w:val="TableParagraph"/>
              <w:spacing w:before="58"/>
              <w:ind w:left="107"/>
              <w:rPr>
                <w:b/>
                <w:sz w:val="20"/>
              </w:rPr>
            </w:pPr>
            <w:r>
              <w:rPr>
                <w:rFonts w:ascii="Arial" w:hAnsi="Arial" w:cs="Arial" w:eastAsia="Arial"/>
                <w:b/>
                <w:sz w:val="20"/>
              </w:rPr>
              <w:t>Phase</w:t>
            </w:r>
          </w:p>
        </w:tc>
        <w:tc>
          <w:tcPr>
            <w:tcW w:w="1925" w:type="dxa"/>
          </w:tcPr>
          <w:p>
            <w:pPr>
              <w:pStyle w:val="TableParagraph"/>
              <w:spacing w:before="58"/>
              <w:ind w:left="163" w:right="155"/>
              <w:jc w:val="center"/>
              <w:rPr>
                <w:b/>
                <w:sz w:val="20"/>
              </w:rPr>
            </w:pPr>
            <w:r>
              <w:rPr>
                <w:rFonts w:ascii="Arial" w:hAnsi="Arial" w:cs="Arial" w:eastAsia="Arial"/>
                <w:b/>
                <w:sz w:val="20"/>
              </w:rPr>
              <w:t>Prerandomization</w:t>
            </w:r>
          </w:p>
        </w:tc>
        <w:tc>
          <w:tcPr>
            <w:tcW w:w="5198" w:type="dxa"/>
            <w:gridSpan w:val="4"/>
          </w:tcPr>
          <w:p>
            <w:pPr>
              <w:pStyle w:val="TableParagraph"/>
              <w:spacing w:before="58"/>
              <w:ind w:left="1920" w:right="1915"/>
              <w:jc w:val="center"/>
              <w:rPr>
                <w:b/>
                <w:sz w:val="20"/>
              </w:rPr>
            </w:pPr>
            <w:r>
              <w:rPr>
                <w:rFonts w:ascii="Arial" w:hAnsi="Arial" w:cs="Arial" w:eastAsia="Arial"/>
                <w:b/>
                <w:sz w:val="20"/>
              </w:rPr>
              <w:t>Randomization</w:t>
            </w:r>
          </w:p>
        </w:tc>
        <w:tc>
          <w:tcPr>
            <w:tcW w:w="2360" w:type="dxa"/>
            <w:vMerge w:val="restart"/>
          </w:tcPr>
          <w:p>
            <w:pPr>
              <w:pStyle w:val="TableParagraph"/>
              <w:rPr>
                <w:rFonts w:ascii="Arial"/>
                <w:b/>
                <w:sz w:val="22"/>
              </w:rPr>
            </w:pPr>
          </w:p>
          <w:p>
            <w:pPr>
              <w:pStyle w:val="TableParagraph"/>
              <w:rPr>
                <w:rFonts w:ascii="Arial"/>
                <w:b/>
                <w:sz w:val="22"/>
              </w:rPr>
            </w:pPr>
          </w:p>
          <w:p>
            <w:pPr>
              <w:pStyle w:val="TableParagraph"/>
              <w:spacing w:before="142"/>
              <w:ind w:left="626"/>
              <w:rPr>
                <w:b/>
                <w:sz w:val="20"/>
              </w:rPr>
            </w:pPr>
            <w:r>
              <w:rPr>
                <w:rFonts w:ascii="Arial" w:hAnsi="Arial" w:cs="Arial" w:eastAsia="Arial"/>
                <w:b/>
                <w:sz w:val="20"/>
              </w:rPr>
              <w:t>Unscheduled</w:t>
            </w:r>
          </w:p>
        </w:tc>
      </w:tr>
      <w:tr>
        <w:trPr>
          <w:trHeight w:val="580" w:hRule="atLeast"/>
        </w:trPr>
        <w:tc>
          <w:tcPr>
            <w:tcW w:w="3535" w:type="dxa"/>
          </w:tcPr>
          <w:p>
            <w:pPr>
              <w:pStyle w:val="TableParagraph"/>
              <w:rPr>
                <w:rFonts w:ascii="Arial"/>
                <w:b/>
                <w:sz w:val="25"/>
              </w:rPr>
            </w:pPr>
          </w:p>
          <w:p>
            <w:pPr>
              <w:pStyle w:val="TableParagraph"/>
              <w:spacing w:before="1"/>
              <w:ind w:left="107"/>
              <w:rPr>
                <w:b/>
                <w:sz w:val="20"/>
              </w:rPr>
            </w:pPr>
            <w:r>
              <w:rPr>
                <w:rFonts w:ascii="Arial" w:hAnsi="Arial" w:cs="Arial" w:eastAsia="Arial"/>
                <w:b/>
                <w:sz w:val="20"/>
              </w:rPr>
              <w:t>Period</w:t>
            </w:r>
          </w:p>
        </w:tc>
        <w:tc>
          <w:tcPr>
            <w:tcW w:w="1925" w:type="dxa"/>
          </w:tcPr>
          <w:p>
            <w:pPr>
              <w:pStyle w:val="TableParagraph"/>
              <w:rPr>
                <w:rFonts w:ascii="Arial"/>
                <w:b/>
                <w:sz w:val="25"/>
              </w:rPr>
            </w:pPr>
          </w:p>
          <w:p>
            <w:pPr>
              <w:pStyle w:val="TableParagraph"/>
              <w:spacing w:before="1"/>
              <w:ind w:left="160" w:right="155"/>
              <w:jc w:val="center"/>
              <w:rPr>
                <w:b/>
                <w:sz w:val="20"/>
              </w:rPr>
            </w:pPr>
            <w:r>
              <w:rPr>
                <w:rFonts w:ascii="Arial" w:hAnsi="Arial" w:cs="Arial" w:eastAsia="Arial"/>
                <w:b/>
                <w:sz w:val="20"/>
              </w:rPr>
              <w:t>Screening</w:t>
            </w:r>
          </w:p>
        </w:tc>
        <w:tc>
          <w:tcPr>
            <w:tcW w:w="1162" w:type="dxa"/>
          </w:tcPr>
          <w:p>
            <w:pPr>
              <w:pStyle w:val="TableParagraph"/>
              <w:spacing w:before="58"/>
              <w:ind w:left="220" w:hanging="96"/>
              <w:rPr>
                <w:b/>
                <w:sz w:val="20"/>
              </w:rPr>
            </w:pPr>
            <w:r>
              <w:rPr>
                <w:rFonts w:ascii="Arial" w:hAnsi="Arial" w:cs="Arial" w:eastAsia="Arial"/>
                <w:b/>
                <w:w w:val="95"/>
                <w:sz w:val="20"/>
              </w:rPr>
              <w:t>Treatment </w:t>
            </w:r>
            <w:r>
              <w:rPr>
                <w:rFonts w:ascii="Arial" w:hAnsi="Arial" w:cs="Arial" w:eastAsia="Arial"/>
                <w:b/>
                <w:sz w:val="20"/>
              </w:rPr>
              <w:t>Period 1</w:t>
            </w:r>
          </w:p>
        </w:tc>
        <w:tc>
          <w:tcPr>
            <w:tcW w:w="1162" w:type="dxa"/>
          </w:tcPr>
          <w:p>
            <w:pPr>
              <w:pStyle w:val="TableParagraph"/>
              <w:spacing w:before="58"/>
              <w:ind w:left="220" w:hanging="96"/>
              <w:rPr>
                <w:b/>
                <w:sz w:val="20"/>
              </w:rPr>
            </w:pPr>
            <w:r>
              <w:rPr>
                <w:rFonts w:ascii="Arial" w:hAnsi="Arial" w:cs="Arial" w:eastAsia="Arial"/>
                <w:b/>
                <w:w w:val="95"/>
                <w:sz w:val="20"/>
              </w:rPr>
              <w:t>Treatment </w:t>
            </w:r>
            <w:r>
              <w:rPr>
                <w:rFonts w:ascii="Arial" w:hAnsi="Arial" w:cs="Arial" w:eastAsia="Arial"/>
                <w:b/>
                <w:sz w:val="20"/>
              </w:rPr>
              <w:t>Period 2</w:t>
            </w:r>
          </w:p>
        </w:tc>
        <w:tc>
          <w:tcPr>
            <w:tcW w:w="1160" w:type="dxa"/>
          </w:tcPr>
          <w:p>
            <w:pPr>
              <w:pStyle w:val="TableParagraph"/>
              <w:spacing w:before="58"/>
              <w:ind w:left="219" w:hanging="96"/>
              <w:rPr>
                <w:b/>
                <w:sz w:val="20"/>
              </w:rPr>
            </w:pPr>
            <w:r>
              <w:rPr>
                <w:rFonts w:ascii="Arial" w:hAnsi="Arial" w:cs="Arial" w:eastAsia="Arial"/>
                <w:b/>
                <w:w w:val="95"/>
                <w:sz w:val="20"/>
              </w:rPr>
              <w:t>Treatment </w:t>
            </w:r>
            <w:r>
              <w:rPr>
                <w:rFonts w:ascii="Arial" w:hAnsi="Arial" w:cs="Arial" w:eastAsia="Arial"/>
                <w:b/>
                <w:sz w:val="20"/>
              </w:rPr>
              <w:t>Period 3</w:t>
            </w:r>
          </w:p>
        </w:tc>
        <w:tc>
          <w:tcPr>
            <w:tcW w:w="1714" w:type="dxa"/>
          </w:tcPr>
          <w:p>
            <w:pPr>
              <w:pStyle w:val="TableParagraph"/>
              <w:spacing w:before="58"/>
              <w:ind w:left="142" w:hanging="5"/>
              <w:rPr>
                <w:b/>
                <w:sz w:val="20"/>
              </w:rPr>
            </w:pPr>
            <w:r>
              <w:rPr>
                <w:rFonts w:ascii="Arial" w:hAnsi="Arial" w:cs="Arial" w:eastAsia="Arial"/>
                <w:b/>
                <w:sz w:val="20"/>
              </w:rPr>
              <w:t>Follow-up /Early Discontinuation</w:t>
            </w:r>
            <w:r>
              <w:rPr>
                <w:rFonts w:ascii="Arial" w:hAnsi="Arial" w:cs="Arial" w:eastAsia="Arial"/>
                <w:b/>
                <w:sz w:val="20"/>
                <w:vertAlign w:val="superscript"/>
              </w:rPr>
              <w:t>a</w:t>
            </w:r>
          </w:p>
        </w:tc>
        <w:tc>
          <w:tcPr>
            <w:tcW w:w="2360" w:type="dxa"/>
            <w:vMerge/>
            <w:tcBorders>
              <w:top w:val="nil"/>
            </w:tcBorders>
          </w:tcPr>
          <w:p>
            <w:pPr>
              <w:rPr>
                <w:sz w:val="2"/>
                <w:szCs w:val="2"/>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Visit</w:t>
            </w:r>
          </w:p>
        </w:tc>
        <w:tc>
          <w:tcPr>
            <w:tcW w:w="1925" w:type="dxa"/>
          </w:tcPr>
          <w:p>
            <w:pPr>
              <w:pStyle w:val="TableParagraph"/>
              <w:spacing w:before="58"/>
              <w:ind w:left="8"/>
              <w:jc w:val="center"/>
              <w:rPr>
                <w:b/>
                <w:sz w:val="20"/>
              </w:rPr>
            </w:pPr>
            <w:r>
              <w:rPr>
                <w:rFonts w:ascii="Arial" w:hAnsi="Arial" w:cs="Arial" w:eastAsia="Arial"/>
                <w:b/>
                <w:w w:val="99"/>
                <w:sz w:val="20"/>
              </w:rPr>
              <w:t>1</w:t>
            </w:r>
          </w:p>
        </w:tc>
        <w:tc>
          <w:tcPr>
            <w:tcW w:w="1162" w:type="dxa"/>
          </w:tcPr>
          <w:p>
            <w:pPr>
              <w:pStyle w:val="TableParagraph"/>
              <w:spacing w:before="58"/>
              <w:ind w:left="530"/>
              <w:rPr>
                <w:b/>
                <w:sz w:val="20"/>
              </w:rPr>
            </w:pPr>
            <w:r>
              <w:rPr>
                <w:rFonts w:ascii="Arial" w:hAnsi="Arial" w:cs="Arial" w:eastAsia="Arial"/>
                <w:b/>
                <w:w w:val="99"/>
                <w:sz w:val="20"/>
              </w:rPr>
              <w:t>2</w:t>
            </w:r>
          </w:p>
        </w:tc>
        <w:tc>
          <w:tcPr>
            <w:tcW w:w="1162" w:type="dxa"/>
          </w:tcPr>
          <w:p>
            <w:pPr>
              <w:pStyle w:val="TableParagraph"/>
              <w:spacing w:before="58"/>
              <w:ind w:left="7"/>
              <w:jc w:val="center"/>
              <w:rPr>
                <w:b/>
                <w:sz w:val="20"/>
              </w:rPr>
            </w:pPr>
            <w:r>
              <w:rPr>
                <w:rFonts w:ascii="Arial" w:hAnsi="Arial" w:cs="Arial" w:eastAsia="Arial"/>
                <w:b/>
                <w:w w:val="99"/>
                <w:sz w:val="20"/>
              </w:rPr>
              <w:t>3</w:t>
            </w:r>
          </w:p>
        </w:tc>
        <w:tc>
          <w:tcPr>
            <w:tcW w:w="1160" w:type="dxa"/>
          </w:tcPr>
          <w:p>
            <w:pPr>
              <w:pStyle w:val="TableParagraph"/>
              <w:spacing w:before="58"/>
              <w:ind w:left="8"/>
              <w:jc w:val="center"/>
              <w:rPr>
                <w:b/>
                <w:sz w:val="20"/>
              </w:rPr>
            </w:pPr>
            <w:r>
              <w:rPr>
                <w:rFonts w:ascii="Arial" w:hAnsi="Arial" w:cs="Arial" w:eastAsia="Arial"/>
                <w:b/>
                <w:w w:val="99"/>
                <w:sz w:val="20"/>
              </w:rPr>
              <w:t>4</w:t>
            </w:r>
          </w:p>
        </w:tc>
        <w:tc>
          <w:tcPr>
            <w:tcW w:w="1714" w:type="dxa"/>
          </w:tcPr>
          <w:p>
            <w:pPr>
              <w:pStyle w:val="TableParagraph"/>
              <w:spacing w:before="58"/>
              <w:jc w:val="center"/>
              <w:rPr>
                <w:b/>
                <w:sz w:val="20"/>
              </w:rPr>
            </w:pPr>
            <w:r>
              <w:rPr>
                <w:rFonts w:ascii="Arial" w:hAnsi="Arial" w:cs="Arial" w:eastAsia="Arial"/>
                <w:b/>
                <w:w w:val="99"/>
                <w:sz w:val="20"/>
              </w:rPr>
              <w:t>5</w:t>
            </w:r>
          </w:p>
        </w:tc>
        <w:tc>
          <w:tcPr>
            <w:tcW w:w="2360" w:type="dxa"/>
          </w:tcPr>
          <w:p>
            <w:pPr>
              <w:pStyle w:val="TableParagraph"/>
              <w:rPr>
                <w:sz w:val="20"/>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Study Day</w:t>
            </w:r>
          </w:p>
        </w:tc>
        <w:tc>
          <w:tcPr>
            <w:tcW w:w="1925" w:type="dxa"/>
          </w:tcPr>
          <w:p>
            <w:pPr>
              <w:pStyle w:val="TableParagraph"/>
              <w:spacing w:before="58"/>
              <w:ind w:left="163" w:right="152"/>
              <w:jc w:val="center"/>
              <w:rPr>
                <w:b/>
                <w:sz w:val="20"/>
              </w:rPr>
            </w:pPr>
            <w:r>
              <w:rPr>
                <w:rFonts w:ascii="Arial" w:hAnsi="Arial" w:cs="Arial" w:eastAsia="Arial"/>
                <w:b/>
                <w:sz w:val="20"/>
              </w:rPr>
              <w:t>-21 to -1</w:t>
            </w:r>
          </w:p>
        </w:tc>
        <w:tc>
          <w:tcPr>
            <w:tcW w:w="1162" w:type="dxa"/>
          </w:tcPr>
          <w:p>
            <w:pPr>
              <w:pStyle w:val="TableParagraph"/>
              <w:spacing w:before="58"/>
              <w:ind w:left="530"/>
              <w:rPr>
                <w:b/>
                <w:sz w:val="20"/>
              </w:rPr>
            </w:pPr>
            <w:r>
              <w:rPr>
                <w:rFonts w:ascii="Arial" w:hAnsi="Arial" w:cs="Arial" w:eastAsia="Arial"/>
                <w:b/>
                <w:w w:val="99"/>
                <w:sz w:val="20"/>
              </w:rPr>
              <w:t>1</w:t>
            </w:r>
          </w:p>
        </w:tc>
        <w:tc>
          <w:tcPr>
            <w:tcW w:w="1162" w:type="dxa"/>
          </w:tcPr>
          <w:p>
            <w:pPr>
              <w:pStyle w:val="TableParagraph"/>
              <w:spacing w:before="58"/>
              <w:ind w:left="355" w:right="347"/>
              <w:jc w:val="center"/>
              <w:rPr>
                <w:b/>
                <w:sz w:val="20"/>
              </w:rPr>
            </w:pPr>
            <w:r>
              <w:rPr>
                <w:rFonts w:ascii="Arial" w:hAnsi="Arial" w:cs="Arial" w:eastAsia="Arial"/>
                <w:b/>
                <w:sz w:val="20"/>
              </w:rPr>
              <w:t>22±3</w:t>
            </w:r>
          </w:p>
        </w:tc>
        <w:tc>
          <w:tcPr>
            <w:tcW w:w="1160" w:type="dxa"/>
          </w:tcPr>
          <w:p>
            <w:pPr>
              <w:pStyle w:val="TableParagraph"/>
              <w:spacing w:before="58"/>
              <w:ind w:left="354" w:right="345"/>
              <w:jc w:val="center"/>
              <w:rPr>
                <w:b/>
                <w:sz w:val="20"/>
              </w:rPr>
            </w:pPr>
            <w:r>
              <w:rPr>
                <w:rFonts w:ascii="Arial" w:hAnsi="Arial" w:cs="Arial" w:eastAsia="Arial"/>
                <w:b/>
                <w:sz w:val="20"/>
              </w:rPr>
              <w:t>43±3</w:t>
            </w:r>
          </w:p>
        </w:tc>
        <w:tc>
          <w:tcPr>
            <w:tcW w:w="1714" w:type="dxa"/>
          </w:tcPr>
          <w:p>
            <w:pPr>
              <w:pStyle w:val="TableParagraph"/>
              <w:spacing w:before="58"/>
              <w:ind w:left="629" w:right="624"/>
              <w:jc w:val="center"/>
              <w:rPr>
                <w:b/>
                <w:sz w:val="20"/>
              </w:rPr>
            </w:pPr>
            <w:r>
              <w:rPr>
                <w:rFonts w:ascii="Arial" w:hAnsi="Arial" w:cs="Arial" w:eastAsia="Arial"/>
                <w:b/>
                <w:sz w:val="20"/>
              </w:rPr>
              <w:t>64±3</w:t>
            </w:r>
          </w:p>
        </w:tc>
        <w:tc>
          <w:tcPr>
            <w:tcW w:w="2360" w:type="dxa"/>
          </w:tcPr>
          <w:p>
            <w:pPr>
              <w:pStyle w:val="TableParagraph"/>
              <w:rPr>
                <w:sz w:val="20"/>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Procedures/Assessments</w:t>
            </w:r>
          </w:p>
        </w:tc>
        <w:tc>
          <w:tcPr>
            <w:tcW w:w="1925" w:type="dxa"/>
          </w:tcPr>
          <w:p>
            <w:pPr>
              <w:pStyle w:val="TableParagraph"/>
              <w:rPr>
                <w:sz w:val="20"/>
              </w:rPr>
            </w:pP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Informed Consent</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Demography</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Randomization</w:t>
            </w:r>
          </w:p>
        </w:tc>
        <w:tc>
          <w:tcPr>
            <w:tcW w:w="1925" w:type="dxa"/>
          </w:tcPr>
          <w:p>
            <w:pPr>
              <w:pStyle w:val="TableParagraph"/>
              <w:rPr>
                <w:sz w:val="20"/>
              </w:rPr>
            </w:pP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Inclusion/exclusion criteria</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Medical history</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Epilepsy medical history</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Physical examination</w:t>
            </w:r>
            <w:r>
              <w:rPr>
                <w:rFonts w:ascii="Arial" w:hAnsi="Arial" w:cs="Arial" w:eastAsia="Arial"/>
                <w:sz w:val="20"/>
                <w:vertAlign w:val="superscript"/>
              </w:rPr>
              <w:t>b</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Neurological examination</w:t>
            </w:r>
            <w:r>
              <w:rPr>
                <w:rFonts w:ascii="Arial" w:hAnsi="Arial" w:cs="Arial" w:eastAsia="Arial"/>
                <w:sz w:val="20"/>
                <w:vertAlign w:val="superscript"/>
              </w:rPr>
              <w:t>b</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Vital signs</w:t>
            </w:r>
            <w:r>
              <w:rPr>
                <w:rFonts w:ascii="Arial" w:hAnsi="Arial" w:cs="Arial" w:eastAsia="Arial"/>
                <w:sz w:val="20"/>
                <w:vertAlign w:val="superscript"/>
              </w:rPr>
              <w:t>c</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spacing w:before="53"/>
              <w:ind w:left="1104"/>
              <w:rPr>
                <w:sz w:val="20"/>
              </w:rPr>
            </w:pPr>
            <w:r>
              <w:rPr>
                <w:rFonts w:ascii="Arial" w:hAnsi="Arial" w:cs="Arial" w:eastAsia="Arial"/>
                <w:w w:val="99"/>
                <w:sz w:val="20"/>
              </w:rPr>
              <w:t>X</w:t>
            </w:r>
          </w:p>
        </w:tc>
      </w:tr>
      <w:tr>
        <w:trPr>
          <w:trHeight w:val="350" w:hRule="atLeast"/>
        </w:trPr>
        <w:tc>
          <w:tcPr>
            <w:tcW w:w="3535" w:type="dxa"/>
          </w:tcPr>
          <w:p>
            <w:pPr>
              <w:pStyle w:val="TableParagraph"/>
              <w:spacing w:before="53"/>
              <w:ind w:left="107"/>
              <w:rPr>
                <w:sz w:val="20"/>
              </w:rPr>
            </w:pPr>
            <w:r>
              <w:rPr>
                <w:rFonts w:ascii="Arial" w:hAnsi="Arial" w:cs="Arial" w:eastAsia="Arial"/>
                <w:sz w:val="20"/>
              </w:rPr>
              <w:t>Height and weight</w:t>
            </w:r>
            <w:r>
              <w:rPr>
                <w:rFonts w:ascii="Arial" w:hAnsi="Arial" w:cs="Arial" w:eastAsia="Arial"/>
                <w:sz w:val="20"/>
                <w:vertAlign w:val="superscript"/>
              </w:rPr>
              <w:t>d</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12-Lead ECG</w:t>
            </w:r>
            <w:r>
              <w:rPr>
                <w:rFonts w:ascii="Arial" w:hAnsi="Arial" w:cs="Arial" w:eastAsia="Arial"/>
                <w:sz w:val="20"/>
                <w:vertAlign w:val="superscript"/>
              </w:rPr>
              <w:t>e</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spacing w:before="27"/>
              <w:ind w:left="1082"/>
              <w:rPr>
                <w:sz w:val="13"/>
              </w:rPr>
            </w:pPr>
            <w:r>
              <w:rPr>
                <w:rFonts w:ascii="Arial" w:hAnsi="Arial" w:cs="Arial" w:eastAsia="Arial"/>
                <w:position w:val="-8"/>
                <w:sz w:val="20"/>
              </w:rPr>
              <w:t>X</w:t>
            </w:r>
            <w:r>
              <w:rPr>
                <w:rFonts w:ascii="Arial" w:hAnsi="Arial" w:cs="Arial" w:eastAsia="Arial"/>
                <w:sz w:val="13"/>
              </w:rPr>
              <w:t>f</w:t>
            </w:r>
          </w:p>
        </w:tc>
      </w:tr>
      <w:tr>
        <w:trPr>
          <w:trHeight w:val="350" w:hRule="atLeast"/>
        </w:trPr>
        <w:tc>
          <w:tcPr>
            <w:tcW w:w="3535" w:type="dxa"/>
          </w:tcPr>
          <w:p>
            <w:pPr>
              <w:pStyle w:val="TableParagraph"/>
              <w:spacing w:before="53"/>
              <w:ind w:left="107"/>
              <w:rPr>
                <w:sz w:val="20"/>
              </w:rPr>
            </w:pPr>
            <w:r>
              <w:rPr>
                <w:rFonts w:ascii="Arial" w:hAnsi="Arial" w:cs="Arial" w:eastAsia="Arial"/>
                <w:sz w:val="20"/>
              </w:rPr>
              <w:t>Clinical laboratory tests</w:t>
            </w:r>
            <w:r>
              <w:rPr>
                <w:rFonts w:ascii="Arial" w:hAnsi="Arial" w:cs="Arial" w:eastAsia="Arial"/>
                <w:sz w:val="20"/>
                <w:vertAlign w:val="superscript"/>
              </w:rPr>
              <w:t>g</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spacing w:before="53"/>
              <w:ind w:left="1104"/>
              <w:rPr>
                <w:sz w:val="20"/>
              </w:rPr>
            </w:pPr>
            <w:r>
              <w:rPr>
                <w:rFonts w:ascii="Arial" w:hAnsi="Arial" w:cs="Arial" w:eastAsia="Arial"/>
                <w:w w:val="99"/>
                <w:sz w:val="20"/>
              </w:rPr>
              <w:t>X</w:t>
            </w:r>
          </w:p>
        </w:tc>
      </w:tr>
      <w:tr>
        <w:trPr>
          <w:trHeight w:val="350" w:hRule="atLeast"/>
        </w:trPr>
        <w:tc>
          <w:tcPr>
            <w:tcW w:w="3535" w:type="dxa"/>
          </w:tcPr>
          <w:p>
            <w:pPr>
              <w:pStyle w:val="TableParagraph"/>
              <w:spacing w:before="53"/>
              <w:ind w:left="107"/>
              <w:rPr>
                <w:sz w:val="20"/>
              </w:rPr>
            </w:pPr>
            <w:r>
              <w:rPr>
                <w:rFonts w:ascii="Arial" w:hAnsi="Arial" w:cs="Arial" w:eastAsia="Arial"/>
                <w:sz w:val="20"/>
              </w:rPr>
              <w:t>Urine drug test</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Urine pregnancy test</w:t>
            </w:r>
            <w:r>
              <w:rPr>
                <w:rFonts w:ascii="Arial" w:hAnsi="Arial" w:cs="Arial" w:eastAsia="Arial"/>
                <w:sz w:val="20"/>
                <w:vertAlign w:val="superscript"/>
              </w:rPr>
              <w:t>h</w:t>
            </w:r>
          </w:p>
        </w:tc>
        <w:tc>
          <w:tcPr>
            <w:tcW w:w="1925" w:type="dxa"/>
          </w:tcPr>
          <w:p>
            <w:pPr>
              <w:pStyle w:val="TableParagraph"/>
              <w:rPr>
                <w:sz w:val="20"/>
              </w:rPr>
            </w:pP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Serum β-hCG [or hCG] test</w:t>
            </w:r>
            <w:r>
              <w:rPr>
                <w:rFonts w:ascii="Arial" w:hAnsi="Arial" w:cs="Arial" w:eastAsia="Arial"/>
                <w:sz w:val="20"/>
                <w:vertAlign w:val="superscript"/>
              </w:rPr>
              <w:t>h</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Serology (HCVAb, HBsAg)</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PK sampling (plasma)</w:t>
            </w:r>
            <w:r>
              <w:rPr>
                <w:rFonts w:ascii="Arial" w:hAnsi="Arial" w:cs="Arial" w:eastAsia="Arial"/>
                <w:sz w:val="20"/>
                <w:vertAlign w:val="superscript"/>
              </w:rPr>
              <w:t>i</w:t>
            </w:r>
          </w:p>
        </w:tc>
        <w:tc>
          <w:tcPr>
            <w:tcW w:w="1925" w:type="dxa"/>
          </w:tcPr>
          <w:p>
            <w:pPr>
              <w:pStyle w:val="TableParagraph"/>
              <w:rPr>
                <w:sz w:val="20"/>
              </w:rPr>
            </w:pPr>
          </w:p>
        </w:tc>
        <w:tc>
          <w:tcPr>
            <w:tcW w:w="1162" w:type="dxa"/>
          </w:tcPr>
          <w:p>
            <w:pPr>
              <w:pStyle w:val="TableParagraph"/>
              <w:spacing w:before="53"/>
              <w:ind w:left="508"/>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rPr>
                <w:sz w:val="20"/>
              </w:rPr>
            </w:pPr>
          </w:p>
        </w:tc>
      </w:tr>
    </w:tbl>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after="0"/>
        <w:rPr>
          <w:sz w:val="20"/>
        </w:rPr>
        <w:sectPr>
          <w:headerReference w:type="default" r:id="rId8"/>
          <w:footerReference w:type="default" r:id="rId9"/>
          <w:pgSz w:w="15840" w:h="12240" w:orient="landscape"/>
          <w:pgMar w:header="953" w:footer="1220" w:top="1200" w:bottom="1420" w:left="1280" w:right="1320"/>
          <w:pgNumType w:start="45"/>
        </w:sect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rPr>
          <w:rFonts w:ascii="Arial"/>
          <w:b/>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rFonts w:ascii="Arial"/>
          <w:b/>
          <w:sz w:val="27"/>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1599" w:val="left" w:leader="none"/>
        </w:tabs>
        <w:spacing w:before="92"/>
        <w:ind w:left="160" w:right="0" w:firstLine="0"/>
        <w:jc w:val="left"/>
        <w:rPr>
          <w:rFonts w:ascii="Arial"/>
          <w:b/>
          <w:sz w:val="24"/>
        </w:rPr>
      </w:pPr>
      <w:r>
        <w:rPr>
          <w:rFonts w:ascii="Arial" w:hAnsi="Arial" w:cs="Arial" w:eastAsia="Arial"/>
          <w:b/>
          <w:sz w:val="24"/>
        </w:rPr>
        <w:t>Table</w:t>
      </w:r>
      <w:r>
        <w:rPr>
          <w:rFonts w:ascii="Arial" w:hAnsi="Arial" w:cs="Arial" w:eastAsia="Arial"/>
          <w:b/>
          <w:spacing w:val="1"/>
          <w:sz w:val="24"/>
        </w:rPr>
        <w:t xml:space="preserve">  </w:t>
      </w:r>
      <w:r>
        <w:rPr>
          <w:rFonts w:ascii="Arial" w:hAnsi="Arial" w:cs="Arial" w:eastAsia="Arial"/>
          <w:b/>
          <w:sz w:val="24"/>
        </w:rPr>
        <w:t xml:space="preserve">  5</w:t>
        <w:tab/>
        <w:t>Schedule of Procedures/Assessments in Study</w:t>
      </w:r>
      <w:r>
        <w:rPr>
          <w:rFonts w:ascii="Arial" w:hAnsi="Arial" w:cs="Arial" w:eastAsia="Arial"/>
          <w:b/>
          <w:spacing w:val="-2"/>
          <w:sz w:val="24"/>
        </w:rPr>
        <w:t xml:space="preserve">  </w:t>
      </w:r>
      <w:r>
        <w:rPr>
          <w:rFonts w:ascii="Arial" w:hAnsi="Arial" w:cs="Arial" w:eastAsia="Arial"/>
          <w:b/>
          <w:sz w:val="24"/>
        </w:rPr>
        <w:t xml:space="preserve">  E2730-A001-201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rFonts w:ascii="Arial"/>
          <w:b/>
          <w:sz w:val="10"/>
        </w:rPr>
      </w:pPr>
    </w:p>
    <w:tbl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35"/>
        <w:gridCol w:w="1925"/>
        <w:gridCol w:w="1162"/>
        <w:gridCol w:w="1162"/>
        <w:gridCol w:w="1160"/>
        <w:gridCol w:w="1714"/>
        <w:gridCol w:w="2360"/>
      </w:tblGrid>
      <w:tr>
        <w:trPr>
          <w:trHeight w:val="350" w:hRule="atLeast"/>
        </w:trPr>
        <w:tc>
          <w:tcPr>
            <w:tcW w:w="3535" w:type="dxa"/>
          </w:tcPr>
          <w:p>
            <w:pPr>
              <w:pStyle w:val="TableParagraph"/>
              <w:spacing w:before="58"/>
              <w:ind w:left="107"/>
              <w:rPr>
                <w:b/>
                <w:sz w:val="20"/>
              </w:rPr>
            </w:pPr>
            <w:r>
              <w:rPr>
                <w:rFonts w:ascii="Arial" w:hAnsi="Arial" w:cs="Arial" w:eastAsia="Arial"/>
                <w:b/>
                <w:sz w:val="20"/>
              </w:rPr>
              <w:t>Phase</w:t>
            </w:r>
          </w:p>
        </w:tc>
        <w:tc>
          <w:tcPr>
            <w:tcW w:w="1925" w:type="dxa"/>
          </w:tcPr>
          <w:p>
            <w:pPr>
              <w:pStyle w:val="TableParagraph"/>
              <w:spacing w:before="58"/>
              <w:ind w:left="163" w:right="155"/>
              <w:jc w:val="center"/>
              <w:rPr>
                <w:b/>
                <w:sz w:val="20"/>
              </w:rPr>
            </w:pPr>
            <w:r>
              <w:rPr>
                <w:rFonts w:ascii="Arial" w:hAnsi="Arial" w:cs="Arial" w:eastAsia="Arial"/>
                <w:b/>
                <w:sz w:val="20"/>
              </w:rPr>
              <w:t>Prerandomization</w:t>
            </w:r>
          </w:p>
        </w:tc>
        <w:tc>
          <w:tcPr>
            <w:tcW w:w="5198" w:type="dxa"/>
            <w:gridSpan w:val="4"/>
          </w:tcPr>
          <w:p>
            <w:pPr>
              <w:pStyle w:val="TableParagraph"/>
              <w:spacing w:before="58"/>
              <w:ind w:left="1920" w:right="1915"/>
              <w:jc w:val="center"/>
              <w:rPr>
                <w:b/>
                <w:sz w:val="20"/>
              </w:rPr>
            </w:pPr>
            <w:r>
              <w:rPr>
                <w:rFonts w:ascii="Arial" w:hAnsi="Arial" w:cs="Arial" w:eastAsia="Arial"/>
                <w:b/>
                <w:sz w:val="20"/>
              </w:rPr>
              <w:t>Randomization</w:t>
            </w:r>
          </w:p>
        </w:tc>
        <w:tc>
          <w:tcPr>
            <w:tcW w:w="2360" w:type="dxa"/>
            <w:vMerge w:val="restart"/>
          </w:tcPr>
          <w:p>
            <w:pPr>
              <w:pStyle w:val="TableParagraph"/>
              <w:rPr>
                <w:rFonts w:ascii="Arial"/>
                <w:b/>
                <w:sz w:val="22"/>
              </w:rPr>
            </w:pPr>
          </w:p>
          <w:p>
            <w:pPr>
              <w:pStyle w:val="TableParagraph"/>
              <w:rPr>
                <w:rFonts w:ascii="Arial"/>
                <w:b/>
                <w:sz w:val="22"/>
              </w:rPr>
            </w:pPr>
          </w:p>
          <w:p>
            <w:pPr>
              <w:pStyle w:val="TableParagraph"/>
              <w:spacing w:before="142"/>
              <w:ind w:left="626"/>
              <w:rPr>
                <w:b/>
                <w:sz w:val="20"/>
              </w:rPr>
            </w:pPr>
            <w:r>
              <w:rPr>
                <w:rFonts w:ascii="Arial" w:hAnsi="Arial" w:cs="Arial" w:eastAsia="Arial"/>
                <w:b/>
                <w:sz w:val="20"/>
              </w:rPr>
              <w:t>Unscheduled</w:t>
            </w:r>
          </w:p>
        </w:tc>
      </w:tr>
      <w:tr>
        <w:trPr>
          <w:trHeight w:val="580" w:hRule="atLeast"/>
        </w:trPr>
        <w:tc>
          <w:tcPr>
            <w:tcW w:w="3535" w:type="dxa"/>
          </w:tcPr>
          <w:p>
            <w:pPr>
              <w:pStyle w:val="TableParagraph"/>
              <w:rPr>
                <w:rFonts w:ascii="Arial"/>
                <w:b/>
                <w:sz w:val="25"/>
              </w:rPr>
            </w:pPr>
          </w:p>
          <w:p>
            <w:pPr>
              <w:pStyle w:val="TableParagraph"/>
              <w:spacing w:before="1"/>
              <w:ind w:left="107"/>
              <w:rPr>
                <w:b/>
                <w:sz w:val="20"/>
              </w:rPr>
            </w:pPr>
            <w:r>
              <w:rPr>
                <w:rFonts w:ascii="Arial" w:hAnsi="Arial" w:cs="Arial" w:eastAsia="Arial"/>
                <w:b/>
                <w:sz w:val="20"/>
              </w:rPr>
              <w:t>Period</w:t>
            </w:r>
          </w:p>
        </w:tc>
        <w:tc>
          <w:tcPr>
            <w:tcW w:w="1925" w:type="dxa"/>
          </w:tcPr>
          <w:p>
            <w:pPr>
              <w:pStyle w:val="TableParagraph"/>
              <w:rPr>
                <w:rFonts w:ascii="Arial"/>
                <w:b/>
                <w:sz w:val="25"/>
              </w:rPr>
            </w:pPr>
          </w:p>
          <w:p>
            <w:pPr>
              <w:pStyle w:val="TableParagraph"/>
              <w:spacing w:before="1"/>
              <w:ind w:left="160" w:right="155"/>
              <w:jc w:val="center"/>
              <w:rPr>
                <w:b/>
                <w:sz w:val="20"/>
              </w:rPr>
            </w:pPr>
            <w:r>
              <w:rPr>
                <w:rFonts w:ascii="Arial" w:hAnsi="Arial" w:cs="Arial" w:eastAsia="Arial"/>
                <w:b/>
                <w:sz w:val="20"/>
              </w:rPr>
              <w:t>Screening</w:t>
            </w:r>
          </w:p>
        </w:tc>
        <w:tc>
          <w:tcPr>
            <w:tcW w:w="1162" w:type="dxa"/>
          </w:tcPr>
          <w:p>
            <w:pPr>
              <w:pStyle w:val="TableParagraph"/>
              <w:spacing w:before="58"/>
              <w:ind w:left="220" w:hanging="96"/>
              <w:rPr>
                <w:b/>
                <w:sz w:val="20"/>
              </w:rPr>
            </w:pPr>
            <w:r>
              <w:rPr>
                <w:rFonts w:ascii="Arial" w:hAnsi="Arial" w:cs="Arial" w:eastAsia="Arial"/>
                <w:b/>
                <w:w w:val="95"/>
                <w:sz w:val="20"/>
              </w:rPr>
              <w:t>Treatment </w:t>
            </w:r>
            <w:r>
              <w:rPr>
                <w:rFonts w:ascii="Arial" w:hAnsi="Arial" w:cs="Arial" w:eastAsia="Arial"/>
                <w:b/>
                <w:sz w:val="20"/>
              </w:rPr>
              <w:t>Period 1</w:t>
            </w:r>
          </w:p>
        </w:tc>
        <w:tc>
          <w:tcPr>
            <w:tcW w:w="1162" w:type="dxa"/>
          </w:tcPr>
          <w:p>
            <w:pPr>
              <w:pStyle w:val="TableParagraph"/>
              <w:spacing w:before="58"/>
              <w:ind w:left="220" w:hanging="96"/>
              <w:rPr>
                <w:b/>
                <w:sz w:val="20"/>
              </w:rPr>
            </w:pPr>
            <w:r>
              <w:rPr>
                <w:rFonts w:ascii="Arial" w:hAnsi="Arial" w:cs="Arial" w:eastAsia="Arial"/>
                <w:b/>
                <w:w w:val="95"/>
                <w:sz w:val="20"/>
              </w:rPr>
              <w:t>Treatment </w:t>
            </w:r>
            <w:r>
              <w:rPr>
                <w:rFonts w:ascii="Arial" w:hAnsi="Arial" w:cs="Arial" w:eastAsia="Arial"/>
                <w:b/>
                <w:sz w:val="20"/>
              </w:rPr>
              <w:t>Period 2</w:t>
            </w:r>
          </w:p>
        </w:tc>
        <w:tc>
          <w:tcPr>
            <w:tcW w:w="1160" w:type="dxa"/>
          </w:tcPr>
          <w:p>
            <w:pPr>
              <w:pStyle w:val="TableParagraph"/>
              <w:spacing w:before="58"/>
              <w:ind w:left="219" w:hanging="96"/>
              <w:rPr>
                <w:b/>
                <w:sz w:val="20"/>
              </w:rPr>
            </w:pPr>
            <w:r>
              <w:rPr>
                <w:rFonts w:ascii="Arial" w:hAnsi="Arial" w:cs="Arial" w:eastAsia="Arial"/>
                <w:b/>
                <w:w w:val="95"/>
                <w:sz w:val="20"/>
              </w:rPr>
              <w:t>Treatment </w:t>
            </w:r>
            <w:r>
              <w:rPr>
                <w:rFonts w:ascii="Arial" w:hAnsi="Arial" w:cs="Arial" w:eastAsia="Arial"/>
                <w:b/>
                <w:sz w:val="20"/>
              </w:rPr>
              <w:t>Period 3</w:t>
            </w:r>
          </w:p>
        </w:tc>
        <w:tc>
          <w:tcPr>
            <w:tcW w:w="1714" w:type="dxa"/>
          </w:tcPr>
          <w:p>
            <w:pPr>
              <w:pStyle w:val="TableParagraph"/>
              <w:spacing w:before="58"/>
              <w:ind w:left="142" w:hanging="5"/>
              <w:rPr>
                <w:b/>
                <w:sz w:val="20"/>
              </w:rPr>
            </w:pPr>
            <w:r>
              <w:rPr>
                <w:rFonts w:ascii="Arial" w:hAnsi="Arial" w:cs="Arial" w:eastAsia="Arial"/>
                <w:b/>
                <w:sz w:val="20"/>
              </w:rPr>
              <w:t>Follow-up /Early Discontinuation</w:t>
            </w:r>
            <w:r>
              <w:rPr>
                <w:rFonts w:ascii="Arial" w:hAnsi="Arial" w:cs="Arial" w:eastAsia="Arial"/>
                <w:b/>
                <w:sz w:val="20"/>
                <w:vertAlign w:val="superscript"/>
              </w:rPr>
              <w:t>a</w:t>
            </w:r>
          </w:p>
        </w:tc>
        <w:tc>
          <w:tcPr>
            <w:tcW w:w="2360" w:type="dxa"/>
            <w:vMerge/>
            <w:tcBorders>
              <w:top w:val="nil"/>
            </w:tcBorders>
          </w:tcPr>
          <w:p>
            <w:pPr>
              <w:rPr>
                <w:sz w:val="2"/>
                <w:szCs w:val="2"/>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Visit</w:t>
            </w:r>
          </w:p>
        </w:tc>
        <w:tc>
          <w:tcPr>
            <w:tcW w:w="1925" w:type="dxa"/>
          </w:tcPr>
          <w:p>
            <w:pPr>
              <w:pStyle w:val="TableParagraph"/>
              <w:spacing w:before="58"/>
              <w:ind w:left="8"/>
              <w:jc w:val="center"/>
              <w:rPr>
                <w:b/>
                <w:sz w:val="20"/>
              </w:rPr>
            </w:pPr>
            <w:r>
              <w:rPr>
                <w:rFonts w:ascii="Arial" w:hAnsi="Arial" w:cs="Arial" w:eastAsia="Arial"/>
                <w:b/>
                <w:w w:val="99"/>
                <w:sz w:val="20"/>
              </w:rPr>
              <w:t>1</w:t>
            </w:r>
          </w:p>
        </w:tc>
        <w:tc>
          <w:tcPr>
            <w:tcW w:w="1162" w:type="dxa"/>
          </w:tcPr>
          <w:p>
            <w:pPr>
              <w:pStyle w:val="TableParagraph"/>
              <w:spacing w:before="58"/>
              <w:ind w:left="8"/>
              <w:jc w:val="center"/>
              <w:rPr>
                <w:b/>
                <w:sz w:val="20"/>
              </w:rPr>
            </w:pPr>
            <w:r>
              <w:rPr>
                <w:rFonts w:ascii="Arial" w:hAnsi="Arial" w:cs="Arial" w:eastAsia="Arial"/>
                <w:b/>
                <w:w w:val="99"/>
                <w:sz w:val="20"/>
              </w:rPr>
              <w:t>2</w:t>
            </w:r>
          </w:p>
        </w:tc>
        <w:tc>
          <w:tcPr>
            <w:tcW w:w="1162" w:type="dxa"/>
          </w:tcPr>
          <w:p>
            <w:pPr>
              <w:pStyle w:val="TableParagraph"/>
              <w:spacing w:before="58"/>
              <w:ind w:left="7"/>
              <w:jc w:val="center"/>
              <w:rPr>
                <w:b/>
                <w:sz w:val="20"/>
              </w:rPr>
            </w:pPr>
            <w:r>
              <w:rPr>
                <w:rFonts w:ascii="Arial" w:hAnsi="Arial" w:cs="Arial" w:eastAsia="Arial"/>
                <w:b/>
                <w:w w:val="99"/>
                <w:sz w:val="20"/>
              </w:rPr>
              <w:t>3</w:t>
            </w:r>
          </w:p>
        </w:tc>
        <w:tc>
          <w:tcPr>
            <w:tcW w:w="1160" w:type="dxa"/>
          </w:tcPr>
          <w:p>
            <w:pPr>
              <w:pStyle w:val="TableParagraph"/>
              <w:spacing w:before="58"/>
              <w:ind w:left="8"/>
              <w:jc w:val="center"/>
              <w:rPr>
                <w:b/>
                <w:sz w:val="20"/>
              </w:rPr>
            </w:pPr>
            <w:r>
              <w:rPr>
                <w:rFonts w:ascii="Arial" w:hAnsi="Arial" w:cs="Arial" w:eastAsia="Arial"/>
                <w:b/>
                <w:w w:val="99"/>
                <w:sz w:val="20"/>
              </w:rPr>
              <w:t>4</w:t>
            </w:r>
          </w:p>
        </w:tc>
        <w:tc>
          <w:tcPr>
            <w:tcW w:w="1714" w:type="dxa"/>
          </w:tcPr>
          <w:p>
            <w:pPr>
              <w:pStyle w:val="TableParagraph"/>
              <w:spacing w:before="58"/>
              <w:jc w:val="center"/>
              <w:rPr>
                <w:b/>
                <w:sz w:val="20"/>
              </w:rPr>
            </w:pPr>
            <w:r>
              <w:rPr>
                <w:rFonts w:ascii="Arial" w:hAnsi="Arial" w:cs="Arial" w:eastAsia="Arial"/>
                <w:b/>
                <w:w w:val="99"/>
                <w:sz w:val="20"/>
              </w:rPr>
              <w:t>5</w:t>
            </w:r>
          </w:p>
        </w:tc>
        <w:tc>
          <w:tcPr>
            <w:tcW w:w="2360" w:type="dxa"/>
          </w:tcPr>
          <w:p>
            <w:pPr>
              <w:pStyle w:val="TableParagraph"/>
              <w:rPr>
                <w:sz w:val="18"/>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Study Day</w:t>
            </w:r>
          </w:p>
        </w:tc>
        <w:tc>
          <w:tcPr>
            <w:tcW w:w="1925" w:type="dxa"/>
          </w:tcPr>
          <w:p>
            <w:pPr>
              <w:pStyle w:val="TableParagraph"/>
              <w:spacing w:before="58"/>
              <w:ind w:left="163" w:right="152"/>
              <w:jc w:val="center"/>
              <w:rPr>
                <w:b/>
                <w:sz w:val="20"/>
              </w:rPr>
            </w:pPr>
            <w:r>
              <w:rPr>
                <w:rFonts w:ascii="Arial" w:hAnsi="Arial" w:cs="Arial" w:eastAsia="Arial"/>
                <w:b/>
                <w:sz w:val="20"/>
              </w:rPr>
              <w:t>-21 to -1</w:t>
            </w:r>
          </w:p>
        </w:tc>
        <w:tc>
          <w:tcPr>
            <w:tcW w:w="1162" w:type="dxa"/>
          </w:tcPr>
          <w:p>
            <w:pPr>
              <w:pStyle w:val="TableParagraph"/>
              <w:spacing w:before="58"/>
              <w:ind w:left="8"/>
              <w:jc w:val="center"/>
              <w:rPr>
                <w:b/>
                <w:sz w:val="20"/>
              </w:rPr>
            </w:pPr>
            <w:r>
              <w:rPr>
                <w:rFonts w:ascii="Arial" w:hAnsi="Arial" w:cs="Arial" w:eastAsia="Arial"/>
                <w:b/>
                <w:w w:val="99"/>
                <w:sz w:val="20"/>
              </w:rPr>
              <w:t>1</w:t>
            </w:r>
          </w:p>
        </w:tc>
        <w:tc>
          <w:tcPr>
            <w:tcW w:w="1162" w:type="dxa"/>
          </w:tcPr>
          <w:p>
            <w:pPr>
              <w:pStyle w:val="TableParagraph"/>
              <w:spacing w:before="58"/>
              <w:ind w:left="355" w:right="347"/>
              <w:jc w:val="center"/>
              <w:rPr>
                <w:b/>
                <w:sz w:val="20"/>
              </w:rPr>
            </w:pPr>
            <w:r>
              <w:rPr>
                <w:rFonts w:ascii="Arial" w:hAnsi="Arial" w:cs="Arial" w:eastAsia="Arial"/>
                <w:b/>
                <w:sz w:val="20"/>
              </w:rPr>
              <w:t>22±3</w:t>
            </w:r>
          </w:p>
        </w:tc>
        <w:tc>
          <w:tcPr>
            <w:tcW w:w="1160" w:type="dxa"/>
          </w:tcPr>
          <w:p>
            <w:pPr>
              <w:pStyle w:val="TableParagraph"/>
              <w:spacing w:before="58"/>
              <w:ind w:left="354" w:right="345"/>
              <w:jc w:val="center"/>
              <w:rPr>
                <w:b/>
                <w:sz w:val="20"/>
              </w:rPr>
            </w:pPr>
            <w:r>
              <w:rPr>
                <w:rFonts w:ascii="Arial" w:hAnsi="Arial" w:cs="Arial" w:eastAsia="Arial"/>
                <w:b/>
                <w:sz w:val="20"/>
              </w:rPr>
              <w:t>43±3</w:t>
            </w:r>
          </w:p>
        </w:tc>
        <w:tc>
          <w:tcPr>
            <w:tcW w:w="1714" w:type="dxa"/>
          </w:tcPr>
          <w:p>
            <w:pPr>
              <w:pStyle w:val="TableParagraph"/>
              <w:spacing w:before="58"/>
              <w:ind w:left="629" w:right="624"/>
              <w:jc w:val="center"/>
              <w:rPr>
                <w:b/>
                <w:sz w:val="20"/>
              </w:rPr>
            </w:pPr>
            <w:r>
              <w:rPr>
                <w:rFonts w:ascii="Arial" w:hAnsi="Arial" w:cs="Arial" w:eastAsia="Arial"/>
                <w:b/>
                <w:sz w:val="20"/>
              </w:rPr>
              <w:t>64±3</w:t>
            </w:r>
          </w:p>
        </w:tc>
        <w:tc>
          <w:tcPr>
            <w:tcW w:w="2360" w:type="dxa"/>
          </w:tcPr>
          <w:p>
            <w:pPr>
              <w:pStyle w:val="TableParagraph"/>
              <w:rPr>
                <w:sz w:val="18"/>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Procedures/Assessments</w:t>
            </w:r>
          </w:p>
        </w:tc>
        <w:tc>
          <w:tcPr>
            <w:tcW w:w="1925" w:type="dxa"/>
          </w:tcPr>
          <w:p>
            <w:pPr>
              <w:pStyle w:val="TableParagraph"/>
              <w:rPr>
                <w:sz w:val="18"/>
              </w:rPr>
            </w:pPr>
          </w:p>
        </w:tc>
        <w:tc>
          <w:tcPr>
            <w:tcW w:w="1162" w:type="dxa"/>
          </w:tcPr>
          <w:p>
            <w:pPr>
              <w:pStyle w:val="TableParagraph"/>
              <w:rPr>
                <w:sz w:val="18"/>
              </w:rPr>
            </w:pPr>
          </w:p>
        </w:tc>
        <w:tc>
          <w:tcPr>
            <w:tcW w:w="1162" w:type="dxa"/>
          </w:tcPr>
          <w:p>
            <w:pPr>
              <w:pStyle w:val="TableParagraph"/>
              <w:rPr>
                <w:sz w:val="18"/>
              </w:rPr>
            </w:pPr>
          </w:p>
        </w:tc>
        <w:tc>
          <w:tcPr>
            <w:tcW w:w="1160" w:type="dxa"/>
          </w:tcPr>
          <w:p>
            <w:pPr>
              <w:pStyle w:val="TableParagraph"/>
              <w:rPr>
                <w:sz w:val="18"/>
              </w:rPr>
            </w:pPr>
          </w:p>
        </w:tc>
        <w:tc>
          <w:tcPr>
            <w:tcW w:w="1714" w:type="dxa"/>
          </w:tcPr>
          <w:p>
            <w:pPr>
              <w:pStyle w:val="TableParagraph"/>
              <w:rPr>
                <w:sz w:val="18"/>
              </w:rPr>
            </w:pPr>
          </w:p>
        </w:tc>
        <w:tc>
          <w:tcPr>
            <w:tcW w:w="2360" w:type="dxa"/>
          </w:tcPr>
          <w:p>
            <w:pPr>
              <w:pStyle w:val="TableParagraph"/>
              <w:rPr>
                <w:sz w:val="18"/>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PGx sampling</w:t>
            </w:r>
            <w:r>
              <w:rPr>
                <w:rFonts w:ascii="Arial" w:hAnsi="Arial" w:cs="Arial" w:eastAsia="Arial"/>
                <w:sz w:val="20"/>
                <w:vertAlign w:val="superscript"/>
              </w:rPr>
              <w:t>j</w:t>
            </w:r>
          </w:p>
        </w:tc>
        <w:tc>
          <w:tcPr>
            <w:tcW w:w="1925" w:type="dxa"/>
          </w:tcPr>
          <w:p>
            <w:pPr>
              <w:pStyle w:val="TableParagraph"/>
              <w:rPr>
                <w:sz w:val="18"/>
              </w:rPr>
            </w:pPr>
          </w:p>
        </w:tc>
        <w:tc>
          <w:tcPr>
            <w:tcW w:w="1162"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rPr>
                <w:sz w:val="18"/>
              </w:rPr>
            </w:pPr>
          </w:p>
        </w:tc>
        <w:tc>
          <w:tcPr>
            <w:tcW w:w="1160" w:type="dxa"/>
          </w:tcPr>
          <w:p>
            <w:pPr>
              <w:pStyle w:val="TableParagraph"/>
              <w:rPr>
                <w:sz w:val="18"/>
              </w:rPr>
            </w:pPr>
          </w:p>
        </w:tc>
        <w:tc>
          <w:tcPr>
            <w:tcW w:w="1714" w:type="dxa"/>
          </w:tcPr>
          <w:p>
            <w:pPr>
              <w:pStyle w:val="TableParagraph"/>
              <w:rPr>
                <w:sz w:val="18"/>
              </w:rPr>
            </w:pPr>
          </w:p>
        </w:tc>
        <w:tc>
          <w:tcPr>
            <w:tcW w:w="2360" w:type="dxa"/>
          </w:tcPr>
          <w:p>
            <w:pPr>
              <w:pStyle w:val="TableParagraph"/>
              <w:rPr>
                <w:sz w:val="18"/>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C-SSRS</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rPr>
                <w:sz w:val="18"/>
              </w:rPr>
            </w:pPr>
          </w:p>
        </w:tc>
      </w:tr>
      <w:tr>
        <w:trPr>
          <w:trHeight w:val="386" w:hRule="atLeast"/>
        </w:trPr>
        <w:tc>
          <w:tcPr>
            <w:tcW w:w="3535" w:type="dxa"/>
          </w:tcPr>
          <w:p>
            <w:pPr>
              <w:pStyle w:val="TableParagraph"/>
              <w:spacing w:before="70"/>
              <w:ind w:left="107"/>
              <w:rPr>
                <w:sz w:val="20"/>
              </w:rPr>
            </w:pPr>
            <w:r>
              <w:rPr>
                <w:rFonts w:ascii="Arial" w:hAnsi="Arial" w:cs="Arial" w:eastAsia="Arial"/>
                <w:sz w:val="20"/>
              </w:rPr>
              <w:t>EEG-IPS Assessment</w:t>
            </w:r>
            <w:r>
              <w:rPr>
                <w:rFonts w:ascii="Arial" w:hAnsi="Arial" w:cs="Arial" w:eastAsia="Arial"/>
                <w:sz w:val="20"/>
                <w:vertAlign w:val="superscript"/>
              </w:rPr>
              <w:t>k</w:t>
            </w:r>
          </w:p>
        </w:tc>
        <w:tc>
          <w:tcPr>
            <w:tcW w:w="1925" w:type="dxa"/>
          </w:tcPr>
          <w:p>
            <w:pPr>
              <w:pStyle w:val="TableParagraph"/>
              <w:spacing w:before="44"/>
              <w:ind w:left="162" w:right="155"/>
              <w:jc w:val="center"/>
              <w:rPr>
                <w:sz w:val="13"/>
              </w:rPr>
            </w:pPr>
            <w:r>
              <w:rPr>
                <w:rFonts w:ascii="Arial" w:hAnsi="Arial" w:cs="Arial" w:eastAsia="Arial"/>
                <w:position w:val="-8"/>
                <w:sz w:val="20"/>
              </w:rPr>
              <w:t>X</w:t>
            </w:r>
            <w:r>
              <w:rPr>
                <w:rFonts w:ascii="Arial" w:hAnsi="Arial" w:cs="Arial" w:eastAsia="Arial"/>
                <w:sz w:val="13"/>
              </w:rPr>
              <w:t>l</w:t>
            </w:r>
          </w:p>
        </w:tc>
        <w:tc>
          <w:tcPr>
            <w:tcW w:w="1162" w:type="dxa"/>
          </w:tcPr>
          <w:p>
            <w:pPr>
              <w:pStyle w:val="TableParagraph"/>
              <w:spacing w:before="44"/>
              <w:ind w:left="355" w:right="346"/>
              <w:jc w:val="center"/>
              <w:rPr>
                <w:sz w:val="13"/>
              </w:rPr>
            </w:pPr>
            <w:r>
              <w:rPr>
                <w:rFonts w:ascii="Arial" w:hAnsi="Arial" w:cs="Arial" w:eastAsia="Arial"/>
                <w:position w:val="-8"/>
                <w:sz w:val="20"/>
              </w:rPr>
              <w:t>X</w:t>
            </w:r>
            <w:r>
              <w:rPr>
                <w:rFonts w:ascii="Arial" w:hAnsi="Arial" w:cs="Arial" w:eastAsia="Arial"/>
                <w:sz w:val="13"/>
              </w:rPr>
              <w:t>m</w:t>
            </w:r>
          </w:p>
        </w:tc>
        <w:tc>
          <w:tcPr>
            <w:tcW w:w="1162" w:type="dxa"/>
          </w:tcPr>
          <w:p>
            <w:pPr>
              <w:pStyle w:val="TableParagraph"/>
              <w:spacing w:before="44"/>
              <w:ind w:left="355" w:right="347"/>
              <w:jc w:val="center"/>
              <w:rPr>
                <w:sz w:val="13"/>
              </w:rPr>
            </w:pPr>
            <w:r>
              <w:rPr>
                <w:rFonts w:ascii="Arial" w:hAnsi="Arial" w:cs="Arial" w:eastAsia="Arial"/>
                <w:position w:val="-8"/>
                <w:sz w:val="20"/>
              </w:rPr>
              <w:t>X</w:t>
            </w:r>
            <w:r>
              <w:rPr>
                <w:rFonts w:ascii="Arial" w:hAnsi="Arial" w:cs="Arial" w:eastAsia="Arial"/>
                <w:sz w:val="13"/>
              </w:rPr>
              <w:t>m</w:t>
            </w:r>
          </w:p>
        </w:tc>
        <w:tc>
          <w:tcPr>
            <w:tcW w:w="1160" w:type="dxa"/>
          </w:tcPr>
          <w:p>
            <w:pPr>
              <w:pStyle w:val="TableParagraph"/>
              <w:spacing w:before="27"/>
              <w:ind w:left="354" w:right="345"/>
              <w:jc w:val="center"/>
              <w:rPr>
                <w:sz w:val="13"/>
              </w:rPr>
            </w:pPr>
            <w:r>
              <w:rPr>
                <w:rFonts w:ascii="Arial" w:hAnsi="Arial" w:cs="Arial" w:eastAsia="Arial"/>
                <w:position w:val="-8"/>
                <w:sz w:val="20"/>
              </w:rPr>
              <w:t>X</w:t>
            </w:r>
            <w:r>
              <w:rPr>
                <w:rFonts w:ascii="Arial" w:hAnsi="Arial" w:cs="Arial" w:eastAsia="Arial"/>
                <w:sz w:val="13"/>
              </w:rPr>
              <w:t>m</w:t>
            </w:r>
          </w:p>
        </w:tc>
        <w:tc>
          <w:tcPr>
            <w:tcW w:w="1714" w:type="dxa"/>
          </w:tcPr>
          <w:p>
            <w:pPr>
              <w:pStyle w:val="TableParagraph"/>
              <w:rPr>
                <w:sz w:val="18"/>
              </w:rPr>
            </w:pPr>
          </w:p>
        </w:tc>
        <w:tc>
          <w:tcPr>
            <w:tcW w:w="2360" w:type="dxa"/>
          </w:tcPr>
          <w:p>
            <w:pPr>
              <w:pStyle w:val="TableParagraph"/>
              <w:rPr>
                <w:sz w:val="18"/>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Bond and Lader VAS</w:t>
            </w:r>
            <w:r>
              <w:rPr>
                <w:rFonts w:ascii="Arial" w:hAnsi="Arial" w:cs="Arial" w:eastAsia="Arial"/>
                <w:sz w:val="20"/>
                <w:vertAlign w:val="superscript"/>
              </w:rPr>
              <w:t>k,n</w:t>
            </w:r>
          </w:p>
        </w:tc>
        <w:tc>
          <w:tcPr>
            <w:tcW w:w="1925" w:type="dxa"/>
          </w:tcPr>
          <w:p>
            <w:pPr>
              <w:pStyle w:val="TableParagraph"/>
              <w:rPr>
                <w:sz w:val="18"/>
              </w:rPr>
            </w:pPr>
          </w:p>
        </w:tc>
        <w:tc>
          <w:tcPr>
            <w:tcW w:w="1162"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rPr>
                <w:sz w:val="18"/>
              </w:rPr>
            </w:pPr>
          </w:p>
        </w:tc>
        <w:tc>
          <w:tcPr>
            <w:tcW w:w="2360" w:type="dxa"/>
          </w:tcPr>
          <w:p>
            <w:pPr>
              <w:pStyle w:val="TableParagraph"/>
              <w:rPr>
                <w:sz w:val="18"/>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Administer study drug</w:t>
            </w:r>
          </w:p>
        </w:tc>
        <w:tc>
          <w:tcPr>
            <w:tcW w:w="1925" w:type="dxa"/>
          </w:tcPr>
          <w:p>
            <w:pPr>
              <w:pStyle w:val="TableParagraph"/>
              <w:rPr>
                <w:sz w:val="18"/>
              </w:rPr>
            </w:pPr>
          </w:p>
        </w:tc>
        <w:tc>
          <w:tcPr>
            <w:tcW w:w="1162"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rPr>
                <w:sz w:val="18"/>
              </w:rPr>
            </w:pPr>
          </w:p>
        </w:tc>
        <w:tc>
          <w:tcPr>
            <w:tcW w:w="2360" w:type="dxa"/>
          </w:tcPr>
          <w:p>
            <w:pPr>
              <w:pStyle w:val="TableParagraph"/>
              <w:rPr>
                <w:sz w:val="18"/>
              </w:rPr>
            </w:pPr>
          </w:p>
        </w:tc>
      </w:tr>
      <w:tr>
        <w:trPr>
          <w:trHeight w:val="350" w:hRule="atLeast"/>
        </w:trPr>
        <w:tc>
          <w:tcPr>
            <w:tcW w:w="3535" w:type="dxa"/>
          </w:tcPr>
          <w:p>
            <w:pPr>
              <w:pStyle w:val="TableParagraph"/>
              <w:spacing w:before="53"/>
              <w:ind w:left="107"/>
              <w:rPr>
                <w:sz w:val="20"/>
              </w:rPr>
            </w:pPr>
            <w:r>
              <w:rPr>
                <w:rFonts w:ascii="Arial" w:hAnsi="Arial" w:cs="Arial" w:eastAsia="Arial"/>
                <w:sz w:val="20"/>
              </w:rPr>
              <w:t>Prior and concomitant medication(s)</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spacing w:before="53"/>
              <w:ind w:left="1104"/>
              <w:rPr>
                <w:sz w:val="20"/>
              </w:rPr>
            </w:pPr>
            <w:r>
              <w:rPr>
                <w:rFonts w:ascii="Arial" w:hAnsi="Arial" w:cs="Arial" w:eastAsia="Arial"/>
                <w:w w:val="99"/>
                <w:sz w:val="20"/>
              </w:rPr>
              <w:t>X</w:t>
            </w:r>
          </w:p>
        </w:tc>
      </w:tr>
      <w:tr>
        <w:trPr>
          <w:trHeight w:val="350" w:hRule="atLeast"/>
        </w:trPr>
        <w:tc>
          <w:tcPr>
            <w:tcW w:w="3535" w:type="dxa"/>
          </w:tcPr>
          <w:p>
            <w:pPr>
              <w:pStyle w:val="TableParagraph"/>
              <w:spacing w:before="53"/>
              <w:ind w:left="107"/>
              <w:rPr>
                <w:sz w:val="20"/>
              </w:rPr>
            </w:pPr>
            <w:r>
              <w:rPr>
                <w:rFonts w:ascii="Arial" w:hAnsi="Arial" w:cs="Arial" w:eastAsia="Arial"/>
                <w:sz w:val="20"/>
              </w:rPr>
              <w:t>Adverse events</w:t>
            </w:r>
          </w:p>
        </w:tc>
        <w:tc>
          <w:tcPr>
            <w:tcW w:w="1925"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9"/>
              <w:jc w:val="center"/>
              <w:rPr>
                <w:sz w:val="20"/>
              </w:rPr>
            </w:pPr>
            <w:r>
              <w:rPr>
                <w:rFonts w:ascii="Arial" w:hAnsi="Arial" w:cs="Arial" w:eastAsia="Arial"/>
                <w:w w:val="99"/>
                <w:sz w:val="20"/>
              </w:rPr>
              <w:t>X</w:t>
            </w:r>
          </w:p>
        </w:tc>
        <w:tc>
          <w:tcPr>
            <w:tcW w:w="1162" w:type="dxa"/>
          </w:tcPr>
          <w:p>
            <w:pPr>
              <w:pStyle w:val="TableParagraph"/>
              <w:spacing w:before="53"/>
              <w:ind w:left="8"/>
              <w:jc w:val="center"/>
              <w:rPr>
                <w:sz w:val="20"/>
              </w:rPr>
            </w:pPr>
            <w:r>
              <w:rPr>
                <w:rFonts w:ascii="Arial" w:hAnsi="Arial" w:cs="Arial" w:eastAsia="Arial"/>
                <w:w w:val="99"/>
                <w:sz w:val="20"/>
              </w:rPr>
              <w:t>X</w:t>
            </w:r>
          </w:p>
        </w:tc>
        <w:tc>
          <w:tcPr>
            <w:tcW w:w="1160" w:type="dxa"/>
          </w:tcPr>
          <w:p>
            <w:pPr>
              <w:pStyle w:val="TableParagraph"/>
              <w:spacing w:before="53"/>
              <w:ind w:left="9"/>
              <w:jc w:val="center"/>
              <w:rPr>
                <w:sz w:val="20"/>
              </w:rPr>
            </w:pPr>
            <w:r>
              <w:rPr>
                <w:rFonts w:ascii="Arial" w:hAnsi="Arial" w:cs="Arial" w:eastAsia="Arial"/>
                <w:w w:val="99"/>
                <w:sz w:val="20"/>
              </w:rPr>
              <w:t>X</w:t>
            </w:r>
          </w:p>
        </w:tc>
        <w:tc>
          <w:tcPr>
            <w:tcW w:w="1714" w:type="dxa"/>
          </w:tcPr>
          <w:p>
            <w:pPr>
              <w:pStyle w:val="TableParagraph"/>
              <w:spacing w:before="53"/>
              <w:ind w:left="1"/>
              <w:jc w:val="center"/>
              <w:rPr>
                <w:sz w:val="20"/>
              </w:rPr>
            </w:pPr>
            <w:r>
              <w:rPr>
                <w:rFonts w:ascii="Arial" w:hAnsi="Arial" w:cs="Arial" w:eastAsia="Arial"/>
                <w:w w:val="99"/>
                <w:sz w:val="20"/>
              </w:rPr>
              <w:t>X</w:t>
            </w:r>
          </w:p>
        </w:tc>
        <w:tc>
          <w:tcPr>
            <w:tcW w:w="2360" w:type="dxa"/>
          </w:tcPr>
          <w:p>
            <w:pPr>
              <w:pStyle w:val="TableParagraph"/>
              <w:spacing w:before="53"/>
              <w:ind w:left="1104"/>
              <w:rPr>
                <w:sz w:val="20"/>
              </w:rPr>
            </w:pPr>
            <w:r>
              <w:rPr>
                <w:rFonts w:ascii="Arial" w:hAnsi="Arial" w:cs="Arial" w:eastAsia="Arial"/>
                <w:w w:val="99"/>
                <w:sz w:val="20"/>
              </w:rPr>
              <w:t>X</w:t>
            </w:r>
          </w:p>
        </w:tc>
      </w:tr>
    </w:tbl>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before="55"/>
        <w:ind w:left="212" w:right="422" w:firstLine="0"/>
        <w:jc w:val="left"/>
        <w:rPr>
          <w:sz w:val="18"/>
        </w:rPr>
      </w:pPr>
      <w:r>
        <w:rPr>
          <w:rFonts w:ascii="Arial" w:hAnsi="Arial" w:cs="Arial" w:eastAsia="Arial"/>
          <w:sz w:val="18"/>
        </w:rPr>
        <w:t>ß-hCG = beta-human chorionic gonadotropin </w:t>
      </w:r>
      <w:r>
        <w:rPr>
          <w:rFonts w:ascii="Arial" w:hAnsi="Arial" w:cs="Arial" w:eastAsia="Arial"/>
          <w:i/>
          <w:sz w:val="18"/>
        </w:rPr>
        <w:t xml:space="preserve">  (</w:t>
      </w:r>
      <w:r>
        <w:rPr>
          <w:rFonts w:ascii="Arial" w:hAnsi="Arial" w:cs="Arial" w:eastAsia="Arial"/>
          <w:sz w:val="18"/>
        </w:rPr>
        <w:t>or hCG = human chorionic gonadotropin</w:t>
      </w:r>
      <w:r>
        <w:rPr>
          <w:rFonts w:ascii="Arial" w:hAnsi="Arial" w:cs="Arial" w:eastAsia="Arial"/>
          <w:i/>
          <w:sz w:val="18"/>
        </w:rPr>
        <w:t>)</w:t>
      </w:r>
      <w:r>
        <w:rPr>
          <w:rFonts w:ascii="Arial" w:hAnsi="Arial" w:cs="Arial" w:eastAsia="Arial"/>
          <w:sz w:val="18"/>
        </w:rPr>
        <w:t>, BP = blood pressure, C-SSRS = Columbia-Suicide Severity Rating Scale, EEG-IPS= electroencephalogram- intermittent photic stimulation, HBsAg = hepatitis B surface antigen, HCVAb = hepatitis C virus antibody, PGx = pharmacogenomics,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line="206" w:lineRule="exact" w:before="0"/>
        <w:ind w:left="212" w:right="0" w:firstLine="0"/>
        <w:jc w:val="left"/>
        <w:rPr>
          <w:sz w:val="18"/>
        </w:rPr>
      </w:pPr>
      <w:r>
        <w:rPr>
          <w:rFonts w:ascii="Arial" w:hAnsi="Arial" w:cs="Arial" w:eastAsia="Arial"/>
          <w:sz w:val="18"/>
        </w:rPr>
        <w:t>PK = pharmacokinetics, QTc = corrected QT interval, VAS = visual analogue scale.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0"/>
        <w:ind w:left="248" w:right="0" w:firstLine="0"/>
        <w:jc w:val="left"/>
        <w:rPr>
          <w:sz w:val="20"/>
        </w:rPr>
      </w:pPr>
      <w:r>
        <w:rPr>
          <w:rFonts w:ascii="Arial" w:hAnsi="Arial" w:cs="Arial" w:eastAsia="Arial"/>
          <w:sz w:val="18"/>
        </w:rPr>
        <w:t>a:</w:t>
        <w:tab/>
      </w:r>
      <w:r>
        <w:rPr>
          <w:rFonts w:ascii="Arial" w:hAnsi="Arial" w:cs="Arial" w:eastAsia="Arial"/>
          <w:sz w:val="20"/>
        </w:rPr>
        <w:t>To be completed for all subjects, including those who discontinue the study</w:t>
      </w:r>
      <w:r>
        <w:rPr>
          <w:rFonts w:ascii="Arial" w:hAnsi="Arial" w:cs="Arial" w:eastAsia="Arial"/>
          <w:spacing w:val="-3"/>
          <w:sz w:val="20"/>
        </w:rPr>
        <w:t xml:space="preserve">  </w:t>
      </w:r>
      <w:r>
        <w:rPr>
          <w:rFonts w:ascii="Arial" w:hAnsi="Arial" w:cs="Arial" w:eastAsia="Arial"/>
          <w:sz w:val="20"/>
        </w:rPr>
        <w:t xml:space="preserve">  early.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58"/>
        <w:ind w:left="608" w:right="264" w:hanging="360"/>
        <w:jc w:val="left"/>
        <w:rPr>
          <w:sz w:val="20"/>
        </w:rPr>
      </w:pPr>
      <w:r>
        <w:rPr>
          <w:rFonts w:ascii="Arial" w:hAnsi="Arial" w:cs="Arial" w:eastAsia="Arial"/>
          <w:sz w:val="18"/>
        </w:rPr>
        <w:t>b:</w:t>
        <w:tab/>
      </w:r>
      <w:r>
        <w:rPr>
          <w:rFonts w:ascii="Arial" w:hAnsi="Arial" w:cs="Arial" w:eastAsia="Arial"/>
          <w:sz w:val="20"/>
        </w:rPr>
        <w:t>A full physical examination will be carried out at Screening. A brief physical examination may be carried out at other visits, as deemed necessary by the investigator. A full neurological examination will be performed at screening. A brief neurological examination will be performed during each treatment visit (predose and at 4 hours [±30 minutes] postdose), and during the Follow up/Early Discontinuation visit. Clinically significant abnormal findings from the physical or the neurological examinations will be reported as</w:t>
      </w:r>
      <w:r>
        <w:rPr>
          <w:rFonts w:ascii="Arial" w:hAnsi="Arial" w:cs="Arial" w:eastAsia="Arial"/>
          <w:spacing w:val="-2"/>
          <w:sz w:val="20"/>
        </w:rPr>
        <w:t xml:space="preserve">  </w:t>
      </w:r>
      <w:r>
        <w:rPr>
          <w:rFonts w:ascii="Arial" w:hAnsi="Arial" w:cs="Arial" w:eastAsia="Arial"/>
          <w:sz w:val="20"/>
        </w:rPr>
        <w:t xml:space="preserve">  AEs.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1"/>
        <w:ind w:left="608" w:right="398" w:hanging="360"/>
        <w:jc w:val="left"/>
        <w:rPr>
          <w:sz w:val="20"/>
        </w:rPr>
      </w:pPr>
      <w:r>
        <w:rPr>
          <w:rFonts w:ascii="Arial" w:hAnsi="Arial" w:cs="Arial" w:eastAsia="Arial"/>
          <w:sz w:val="18"/>
        </w:rPr>
        <w:t>c:</w:t>
        <w:tab/>
      </w:r>
      <w:r>
        <w:rPr>
          <w:rFonts w:ascii="Arial" w:hAnsi="Arial" w:cs="Arial" w:eastAsia="Arial"/>
          <w:sz w:val="20"/>
        </w:rPr>
        <w:t>Vital signs measurements will be taken at screening. In addition, on each dosing day, vital sign (BP, pulse, body temperature, respiratory rate) measurements will be obtained at predose, 1, 2, 4, 6, and 8 hours postdose. Subjects will need to rest for 10 minutes before vital signs are taken in the supine position. Triplicate reading of supine vital signs will be measured at all visits except for Screening. At Screening and during the Treatment periods, after supine measurements are completed, subjects will be asked to stand up for 2 minutes, and BP and pulse will be taken in the standing position. At time points when vital signs, ECGs, and blood sampling are performed concurrently, procedures will be performed in the following order: ECGs, vital signs, and then blood sampling.</w:t>
      </w:r>
      <w:r>
        <w:rPr>
          <w:rFonts w:ascii="Arial" w:hAnsi="Arial" w:cs="Arial" w:eastAsia="Arial"/>
          <w:spacing w:val="9"/>
          <w:sz w:val="20"/>
        </w:rPr>
        <w:t xml:space="preserve">  </w:t>
      </w:r>
      <w:r>
        <w:rPr>
          <w:rFonts w:ascii="Arial" w:hAnsi="Arial" w:cs="Arial" w:eastAsia="Arial"/>
          <w:sz w:val="20"/>
        </w:rPr>
        <w:t xml:space="preserve">  Subjects will rest in the supine position for 10 minutes before and 5 minutes after ECG recordings followed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after="0"/>
        <w:jc w:val="left"/>
        <w:rPr>
          <w:sz w:val="20"/>
        </w:rPr>
        <w:sectPr>
          <w:pgSz w:w="15840" w:h="12240" w:orient="landscape"/>
          <w:pgMar w:header="953" w:footer="1220" w:top="1200" w:bottom="1420" w:left="1280" w:right="1320"/>
        </w:sect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7"/>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tabs>
          <w:tab w:pos="1599" w:val="left" w:leader="none"/>
        </w:tabs>
        <w:spacing w:before="92"/>
        <w:ind w:left="160"/>
        <w:rPr>
          <w:rFonts w:ascii="Arial"/>
        </w:rPr>
      </w:pPr>
      <w:r>
        <w:rPr>
          <w:rFonts w:ascii="Arial" w:hAnsi="Arial" w:cs="Arial" w:eastAsia="Arial"/>
        </w:rPr>
        <w:t>Table</w:t>
      </w:r>
      <w:r>
        <w:rPr>
          <w:rFonts w:ascii="Arial" w:hAnsi="Arial" w:cs="Arial" w:eastAsia="Arial"/>
          <w:spacing w:val="1"/>
        </w:rPr>
        <w:t xml:space="preserve">  </w:t>
      </w:r>
      <w:r>
        <w:rPr>
          <w:rFonts w:ascii="Arial" w:hAnsi="Arial" w:cs="Arial" w:eastAsia="Arial"/>
        </w:rPr>
        <w:t xml:space="preserve">  5</w:t>
        <w:tab/>
        <w:t>Schedule of Procedures/Assessments in Study</w:t>
      </w:r>
      <w:r>
        <w:rPr>
          <w:rFonts w:ascii="Arial" w:hAnsi="Arial" w:cs="Arial" w:eastAsia="Arial"/>
          <w:spacing w:val="-2"/>
        </w:rPr>
        <w:t xml:space="preserve">  </w:t>
      </w:r>
      <w:r>
        <w:rPr>
          <w:rFonts w:ascii="Arial" w:hAnsi="Arial" w:cs="Arial" w:eastAsia="Arial"/>
        </w:rPr>
        <w:t xml:space="preserve">  E2730-A001-201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rFonts w:ascii="Arial"/>
          <w:b/>
          <w:sz w:val="10"/>
        </w:rPr>
      </w:pPr>
    </w:p>
    <w:tbl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35"/>
        <w:gridCol w:w="1925"/>
        <w:gridCol w:w="1162"/>
        <w:gridCol w:w="1162"/>
        <w:gridCol w:w="1160"/>
        <w:gridCol w:w="1714"/>
        <w:gridCol w:w="2360"/>
      </w:tblGrid>
      <w:tr>
        <w:trPr>
          <w:trHeight w:val="350" w:hRule="atLeast"/>
        </w:trPr>
        <w:tc>
          <w:tcPr>
            <w:tcW w:w="3535" w:type="dxa"/>
          </w:tcPr>
          <w:p>
            <w:pPr>
              <w:pStyle w:val="TableParagraph"/>
              <w:spacing w:before="58"/>
              <w:ind w:left="107"/>
              <w:rPr>
                <w:b/>
                <w:sz w:val="20"/>
              </w:rPr>
            </w:pPr>
            <w:r>
              <w:rPr>
                <w:rFonts w:ascii="Arial" w:hAnsi="Arial" w:cs="Arial" w:eastAsia="Arial"/>
                <w:b/>
                <w:sz w:val="20"/>
              </w:rPr>
              <w:t>Phase</w:t>
            </w:r>
          </w:p>
        </w:tc>
        <w:tc>
          <w:tcPr>
            <w:tcW w:w="1925" w:type="dxa"/>
          </w:tcPr>
          <w:p>
            <w:pPr>
              <w:pStyle w:val="TableParagraph"/>
              <w:spacing w:before="58"/>
              <w:ind w:left="163" w:right="155"/>
              <w:jc w:val="center"/>
              <w:rPr>
                <w:b/>
                <w:sz w:val="20"/>
              </w:rPr>
            </w:pPr>
            <w:r>
              <w:rPr>
                <w:rFonts w:ascii="Arial" w:hAnsi="Arial" w:cs="Arial" w:eastAsia="Arial"/>
                <w:b/>
                <w:sz w:val="20"/>
              </w:rPr>
              <w:t>Prerandomization</w:t>
            </w:r>
          </w:p>
        </w:tc>
        <w:tc>
          <w:tcPr>
            <w:tcW w:w="5198" w:type="dxa"/>
            <w:gridSpan w:val="4"/>
          </w:tcPr>
          <w:p>
            <w:pPr>
              <w:pStyle w:val="TableParagraph"/>
              <w:spacing w:before="58"/>
              <w:ind w:left="1920" w:right="1915"/>
              <w:jc w:val="center"/>
              <w:rPr>
                <w:b/>
                <w:sz w:val="20"/>
              </w:rPr>
            </w:pPr>
            <w:r>
              <w:rPr>
                <w:rFonts w:ascii="Arial" w:hAnsi="Arial" w:cs="Arial" w:eastAsia="Arial"/>
                <w:b/>
                <w:sz w:val="20"/>
              </w:rPr>
              <w:t>Randomization</w:t>
            </w:r>
          </w:p>
        </w:tc>
        <w:tc>
          <w:tcPr>
            <w:tcW w:w="2360" w:type="dxa"/>
            <w:vMerge w:val="restart"/>
          </w:tcPr>
          <w:p>
            <w:pPr>
              <w:pStyle w:val="TableParagraph"/>
              <w:rPr>
                <w:rFonts w:ascii="Arial"/>
                <w:b/>
                <w:sz w:val="22"/>
              </w:rPr>
            </w:pPr>
          </w:p>
          <w:p>
            <w:pPr>
              <w:pStyle w:val="TableParagraph"/>
              <w:rPr>
                <w:rFonts w:ascii="Arial"/>
                <w:b/>
                <w:sz w:val="22"/>
              </w:rPr>
            </w:pPr>
          </w:p>
          <w:p>
            <w:pPr>
              <w:pStyle w:val="TableParagraph"/>
              <w:spacing w:before="142"/>
              <w:ind w:left="626"/>
              <w:rPr>
                <w:b/>
                <w:sz w:val="20"/>
              </w:rPr>
            </w:pPr>
            <w:r>
              <w:rPr>
                <w:rFonts w:ascii="Arial" w:hAnsi="Arial" w:cs="Arial" w:eastAsia="Arial"/>
                <w:b/>
                <w:sz w:val="20"/>
              </w:rPr>
              <w:t>Unscheduled</w:t>
            </w:r>
          </w:p>
        </w:tc>
      </w:tr>
      <w:tr>
        <w:trPr>
          <w:trHeight w:val="580" w:hRule="atLeast"/>
        </w:trPr>
        <w:tc>
          <w:tcPr>
            <w:tcW w:w="3535" w:type="dxa"/>
          </w:tcPr>
          <w:p>
            <w:pPr>
              <w:pStyle w:val="TableParagraph"/>
              <w:rPr>
                <w:rFonts w:ascii="Arial"/>
                <w:b/>
                <w:sz w:val="25"/>
              </w:rPr>
            </w:pPr>
          </w:p>
          <w:p>
            <w:pPr>
              <w:pStyle w:val="TableParagraph"/>
              <w:spacing w:before="1"/>
              <w:ind w:left="107"/>
              <w:rPr>
                <w:b/>
                <w:sz w:val="20"/>
              </w:rPr>
            </w:pPr>
            <w:r>
              <w:rPr>
                <w:rFonts w:ascii="Arial" w:hAnsi="Arial" w:cs="Arial" w:eastAsia="Arial"/>
                <w:b/>
                <w:sz w:val="20"/>
              </w:rPr>
              <w:t>Period</w:t>
            </w:r>
          </w:p>
        </w:tc>
        <w:tc>
          <w:tcPr>
            <w:tcW w:w="1925" w:type="dxa"/>
          </w:tcPr>
          <w:p>
            <w:pPr>
              <w:pStyle w:val="TableParagraph"/>
              <w:rPr>
                <w:rFonts w:ascii="Arial"/>
                <w:b/>
                <w:sz w:val="25"/>
              </w:rPr>
            </w:pPr>
          </w:p>
          <w:p>
            <w:pPr>
              <w:pStyle w:val="TableParagraph"/>
              <w:spacing w:before="1"/>
              <w:ind w:left="160" w:right="155"/>
              <w:jc w:val="center"/>
              <w:rPr>
                <w:b/>
                <w:sz w:val="20"/>
              </w:rPr>
            </w:pPr>
            <w:r>
              <w:rPr>
                <w:rFonts w:ascii="Arial" w:hAnsi="Arial" w:cs="Arial" w:eastAsia="Arial"/>
                <w:b/>
                <w:sz w:val="20"/>
              </w:rPr>
              <w:t>Screening</w:t>
            </w:r>
          </w:p>
        </w:tc>
        <w:tc>
          <w:tcPr>
            <w:tcW w:w="1162" w:type="dxa"/>
          </w:tcPr>
          <w:p>
            <w:pPr>
              <w:pStyle w:val="TableParagraph"/>
              <w:spacing w:before="58"/>
              <w:ind w:left="220" w:hanging="96"/>
              <w:rPr>
                <w:b/>
                <w:sz w:val="20"/>
              </w:rPr>
            </w:pPr>
            <w:r>
              <w:rPr>
                <w:rFonts w:ascii="Arial" w:hAnsi="Arial" w:cs="Arial" w:eastAsia="Arial"/>
                <w:b/>
                <w:w w:val="95"/>
                <w:sz w:val="20"/>
              </w:rPr>
              <w:t>Treatment </w:t>
            </w:r>
            <w:r>
              <w:rPr>
                <w:rFonts w:ascii="Arial" w:hAnsi="Arial" w:cs="Arial" w:eastAsia="Arial"/>
                <w:b/>
                <w:sz w:val="20"/>
              </w:rPr>
              <w:t>Period 1</w:t>
            </w:r>
          </w:p>
        </w:tc>
        <w:tc>
          <w:tcPr>
            <w:tcW w:w="1162" w:type="dxa"/>
          </w:tcPr>
          <w:p>
            <w:pPr>
              <w:pStyle w:val="TableParagraph"/>
              <w:spacing w:before="58"/>
              <w:ind w:left="220" w:hanging="96"/>
              <w:rPr>
                <w:b/>
                <w:sz w:val="20"/>
              </w:rPr>
            </w:pPr>
            <w:r>
              <w:rPr>
                <w:rFonts w:ascii="Arial" w:hAnsi="Arial" w:cs="Arial" w:eastAsia="Arial"/>
                <w:b/>
                <w:w w:val="95"/>
                <w:sz w:val="20"/>
              </w:rPr>
              <w:t>Treatment </w:t>
            </w:r>
            <w:r>
              <w:rPr>
                <w:rFonts w:ascii="Arial" w:hAnsi="Arial" w:cs="Arial" w:eastAsia="Arial"/>
                <w:b/>
                <w:sz w:val="20"/>
              </w:rPr>
              <w:t>Period 2</w:t>
            </w:r>
          </w:p>
        </w:tc>
        <w:tc>
          <w:tcPr>
            <w:tcW w:w="1160" w:type="dxa"/>
          </w:tcPr>
          <w:p>
            <w:pPr>
              <w:pStyle w:val="TableParagraph"/>
              <w:spacing w:before="58"/>
              <w:ind w:left="219" w:hanging="96"/>
              <w:rPr>
                <w:b/>
                <w:sz w:val="20"/>
              </w:rPr>
            </w:pPr>
            <w:r>
              <w:rPr>
                <w:rFonts w:ascii="Arial" w:hAnsi="Arial" w:cs="Arial" w:eastAsia="Arial"/>
                <w:b/>
                <w:w w:val="95"/>
                <w:sz w:val="20"/>
              </w:rPr>
              <w:t>Treatment </w:t>
            </w:r>
            <w:r>
              <w:rPr>
                <w:rFonts w:ascii="Arial" w:hAnsi="Arial" w:cs="Arial" w:eastAsia="Arial"/>
                <w:b/>
                <w:sz w:val="20"/>
              </w:rPr>
              <w:t>Period 3</w:t>
            </w:r>
          </w:p>
        </w:tc>
        <w:tc>
          <w:tcPr>
            <w:tcW w:w="1714" w:type="dxa"/>
          </w:tcPr>
          <w:p>
            <w:pPr>
              <w:pStyle w:val="TableParagraph"/>
              <w:spacing w:before="58"/>
              <w:ind w:left="142" w:hanging="5"/>
              <w:rPr>
                <w:b/>
                <w:sz w:val="20"/>
              </w:rPr>
            </w:pPr>
            <w:r>
              <w:rPr>
                <w:rFonts w:ascii="Arial" w:hAnsi="Arial" w:cs="Arial" w:eastAsia="Arial"/>
                <w:b/>
                <w:sz w:val="20"/>
              </w:rPr>
              <w:t>Follow-up /Early Discontinuation</w:t>
            </w:r>
            <w:r>
              <w:rPr>
                <w:rFonts w:ascii="Arial" w:hAnsi="Arial" w:cs="Arial" w:eastAsia="Arial"/>
                <w:b/>
                <w:sz w:val="20"/>
                <w:vertAlign w:val="superscript"/>
              </w:rPr>
              <w:t>a</w:t>
            </w:r>
          </w:p>
        </w:tc>
        <w:tc>
          <w:tcPr>
            <w:tcW w:w="2360" w:type="dxa"/>
            <w:vMerge/>
            <w:tcBorders>
              <w:top w:val="nil"/>
            </w:tcBorders>
          </w:tcPr>
          <w:p>
            <w:pPr>
              <w:rPr>
                <w:sz w:val="2"/>
                <w:szCs w:val="2"/>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Visit</w:t>
            </w:r>
          </w:p>
        </w:tc>
        <w:tc>
          <w:tcPr>
            <w:tcW w:w="1925" w:type="dxa"/>
          </w:tcPr>
          <w:p>
            <w:pPr>
              <w:pStyle w:val="TableParagraph"/>
              <w:spacing w:before="58"/>
              <w:ind w:left="8"/>
              <w:jc w:val="center"/>
              <w:rPr>
                <w:b/>
                <w:sz w:val="20"/>
              </w:rPr>
            </w:pPr>
            <w:r>
              <w:rPr>
                <w:rFonts w:ascii="Arial" w:hAnsi="Arial" w:cs="Arial" w:eastAsia="Arial"/>
                <w:b/>
                <w:w w:val="99"/>
                <w:sz w:val="20"/>
              </w:rPr>
              <w:t>1</w:t>
            </w:r>
          </w:p>
        </w:tc>
        <w:tc>
          <w:tcPr>
            <w:tcW w:w="1162" w:type="dxa"/>
          </w:tcPr>
          <w:p>
            <w:pPr>
              <w:pStyle w:val="TableParagraph"/>
              <w:spacing w:before="58"/>
              <w:ind w:left="530"/>
              <w:rPr>
                <w:b/>
                <w:sz w:val="20"/>
              </w:rPr>
            </w:pPr>
            <w:r>
              <w:rPr>
                <w:rFonts w:ascii="Arial" w:hAnsi="Arial" w:cs="Arial" w:eastAsia="Arial"/>
                <w:b/>
                <w:w w:val="99"/>
                <w:sz w:val="20"/>
              </w:rPr>
              <w:t>2</w:t>
            </w:r>
          </w:p>
        </w:tc>
        <w:tc>
          <w:tcPr>
            <w:tcW w:w="1162" w:type="dxa"/>
          </w:tcPr>
          <w:p>
            <w:pPr>
              <w:pStyle w:val="TableParagraph"/>
              <w:spacing w:before="58"/>
              <w:ind w:left="7"/>
              <w:jc w:val="center"/>
              <w:rPr>
                <w:b/>
                <w:sz w:val="20"/>
              </w:rPr>
            </w:pPr>
            <w:r>
              <w:rPr>
                <w:rFonts w:ascii="Arial" w:hAnsi="Arial" w:cs="Arial" w:eastAsia="Arial"/>
                <w:b/>
                <w:w w:val="99"/>
                <w:sz w:val="20"/>
              </w:rPr>
              <w:t>3</w:t>
            </w:r>
          </w:p>
        </w:tc>
        <w:tc>
          <w:tcPr>
            <w:tcW w:w="1160" w:type="dxa"/>
          </w:tcPr>
          <w:p>
            <w:pPr>
              <w:pStyle w:val="TableParagraph"/>
              <w:spacing w:before="58"/>
              <w:ind w:left="8"/>
              <w:jc w:val="center"/>
              <w:rPr>
                <w:b/>
                <w:sz w:val="20"/>
              </w:rPr>
            </w:pPr>
            <w:r>
              <w:rPr>
                <w:rFonts w:ascii="Arial" w:hAnsi="Arial" w:cs="Arial" w:eastAsia="Arial"/>
                <w:b/>
                <w:w w:val="99"/>
                <w:sz w:val="20"/>
              </w:rPr>
              <w:t>4</w:t>
            </w:r>
          </w:p>
        </w:tc>
        <w:tc>
          <w:tcPr>
            <w:tcW w:w="1714" w:type="dxa"/>
          </w:tcPr>
          <w:p>
            <w:pPr>
              <w:pStyle w:val="TableParagraph"/>
              <w:spacing w:before="58"/>
              <w:jc w:val="center"/>
              <w:rPr>
                <w:b/>
                <w:sz w:val="20"/>
              </w:rPr>
            </w:pPr>
            <w:r>
              <w:rPr>
                <w:rFonts w:ascii="Arial" w:hAnsi="Arial" w:cs="Arial" w:eastAsia="Arial"/>
                <w:b/>
                <w:w w:val="99"/>
                <w:sz w:val="20"/>
              </w:rPr>
              <w:t>5</w:t>
            </w:r>
          </w:p>
        </w:tc>
        <w:tc>
          <w:tcPr>
            <w:tcW w:w="2360" w:type="dxa"/>
          </w:tcPr>
          <w:p>
            <w:pPr>
              <w:pStyle w:val="TableParagraph"/>
              <w:rPr>
                <w:sz w:val="20"/>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Study Day</w:t>
            </w:r>
          </w:p>
        </w:tc>
        <w:tc>
          <w:tcPr>
            <w:tcW w:w="1925" w:type="dxa"/>
          </w:tcPr>
          <w:p>
            <w:pPr>
              <w:pStyle w:val="TableParagraph"/>
              <w:spacing w:before="58"/>
              <w:ind w:left="163" w:right="152"/>
              <w:jc w:val="center"/>
              <w:rPr>
                <w:b/>
                <w:sz w:val="20"/>
              </w:rPr>
            </w:pPr>
            <w:r>
              <w:rPr>
                <w:rFonts w:ascii="Arial" w:hAnsi="Arial" w:cs="Arial" w:eastAsia="Arial"/>
                <w:b/>
                <w:sz w:val="20"/>
              </w:rPr>
              <w:t>-21 to -1</w:t>
            </w:r>
          </w:p>
        </w:tc>
        <w:tc>
          <w:tcPr>
            <w:tcW w:w="1162" w:type="dxa"/>
          </w:tcPr>
          <w:p>
            <w:pPr>
              <w:pStyle w:val="TableParagraph"/>
              <w:spacing w:before="58"/>
              <w:ind w:left="530"/>
              <w:rPr>
                <w:b/>
                <w:sz w:val="20"/>
              </w:rPr>
            </w:pPr>
            <w:r>
              <w:rPr>
                <w:rFonts w:ascii="Arial" w:hAnsi="Arial" w:cs="Arial" w:eastAsia="Arial"/>
                <w:b/>
                <w:w w:val="99"/>
                <w:sz w:val="20"/>
              </w:rPr>
              <w:t>1</w:t>
            </w:r>
          </w:p>
        </w:tc>
        <w:tc>
          <w:tcPr>
            <w:tcW w:w="1162" w:type="dxa"/>
          </w:tcPr>
          <w:p>
            <w:pPr>
              <w:pStyle w:val="TableParagraph"/>
              <w:spacing w:before="58"/>
              <w:ind w:left="355" w:right="347"/>
              <w:jc w:val="center"/>
              <w:rPr>
                <w:b/>
                <w:sz w:val="20"/>
              </w:rPr>
            </w:pPr>
            <w:r>
              <w:rPr>
                <w:rFonts w:ascii="Arial" w:hAnsi="Arial" w:cs="Arial" w:eastAsia="Arial"/>
                <w:b/>
                <w:sz w:val="20"/>
              </w:rPr>
              <w:t>22±3</w:t>
            </w:r>
          </w:p>
        </w:tc>
        <w:tc>
          <w:tcPr>
            <w:tcW w:w="1160" w:type="dxa"/>
          </w:tcPr>
          <w:p>
            <w:pPr>
              <w:pStyle w:val="TableParagraph"/>
              <w:spacing w:before="58"/>
              <w:ind w:left="354" w:right="345"/>
              <w:jc w:val="center"/>
              <w:rPr>
                <w:b/>
                <w:sz w:val="20"/>
              </w:rPr>
            </w:pPr>
            <w:r>
              <w:rPr>
                <w:rFonts w:ascii="Arial" w:hAnsi="Arial" w:cs="Arial" w:eastAsia="Arial"/>
                <w:b/>
                <w:sz w:val="20"/>
              </w:rPr>
              <w:t>43±3</w:t>
            </w:r>
          </w:p>
        </w:tc>
        <w:tc>
          <w:tcPr>
            <w:tcW w:w="1714" w:type="dxa"/>
          </w:tcPr>
          <w:p>
            <w:pPr>
              <w:pStyle w:val="TableParagraph"/>
              <w:spacing w:before="58"/>
              <w:ind w:left="629" w:right="624"/>
              <w:jc w:val="center"/>
              <w:rPr>
                <w:b/>
                <w:sz w:val="20"/>
              </w:rPr>
            </w:pPr>
            <w:r>
              <w:rPr>
                <w:rFonts w:ascii="Arial" w:hAnsi="Arial" w:cs="Arial" w:eastAsia="Arial"/>
                <w:b/>
                <w:sz w:val="20"/>
              </w:rPr>
              <w:t>64±3</w:t>
            </w:r>
          </w:p>
        </w:tc>
        <w:tc>
          <w:tcPr>
            <w:tcW w:w="2360" w:type="dxa"/>
          </w:tcPr>
          <w:p>
            <w:pPr>
              <w:pStyle w:val="TableParagraph"/>
              <w:rPr>
                <w:sz w:val="20"/>
              </w:rPr>
            </w:pPr>
          </w:p>
        </w:tc>
      </w:tr>
      <w:tr>
        <w:trPr>
          <w:trHeight w:val="350" w:hRule="atLeast"/>
        </w:trPr>
        <w:tc>
          <w:tcPr>
            <w:tcW w:w="3535" w:type="dxa"/>
          </w:tcPr>
          <w:p>
            <w:pPr>
              <w:pStyle w:val="TableParagraph"/>
              <w:spacing w:before="58"/>
              <w:ind w:left="107"/>
              <w:rPr>
                <w:b/>
                <w:sz w:val="20"/>
              </w:rPr>
            </w:pPr>
            <w:r>
              <w:rPr>
                <w:rFonts w:ascii="Arial" w:hAnsi="Arial" w:cs="Arial" w:eastAsia="Arial"/>
                <w:b/>
                <w:sz w:val="20"/>
              </w:rPr>
              <w:t>Procedures/Assessments</w:t>
            </w:r>
          </w:p>
        </w:tc>
        <w:tc>
          <w:tcPr>
            <w:tcW w:w="1925" w:type="dxa"/>
          </w:tcPr>
          <w:p>
            <w:pPr>
              <w:pStyle w:val="TableParagraph"/>
              <w:rPr>
                <w:sz w:val="20"/>
              </w:rPr>
            </w:pPr>
          </w:p>
        </w:tc>
        <w:tc>
          <w:tcPr>
            <w:tcW w:w="1162" w:type="dxa"/>
          </w:tcPr>
          <w:p>
            <w:pPr>
              <w:pStyle w:val="TableParagraph"/>
              <w:rPr>
                <w:sz w:val="20"/>
              </w:rPr>
            </w:pPr>
          </w:p>
        </w:tc>
        <w:tc>
          <w:tcPr>
            <w:tcW w:w="1162" w:type="dxa"/>
          </w:tcPr>
          <w:p>
            <w:pPr>
              <w:pStyle w:val="TableParagraph"/>
              <w:rPr>
                <w:sz w:val="20"/>
              </w:rPr>
            </w:pPr>
          </w:p>
        </w:tc>
        <w:tc>
          <w:tcPr>
            <w:tcW w:w="1160" w:type="dxa"/>
          </w:tcPr>
          <w:p>
            <w:pPr>
              <w:pStyle w:val="TableParagraph"/>
              <w:rPr>
                <w:sz w:val="20"/>
              </w:rPr>
            </w:pPr>
          </w:p>
        </w:tc>
        <w:tc>
          <w:tcPr>
            <w:tcW w:w="1714" w:type="dxa"/>
          </w:tcPr>
          <w:p>
            <w:pPr>
              <w:pStyle w:val="TableParagraph"/>
              <w:rPr>
                <w:sz w:val="20"/>
              </w:rPr>
            </w:pPr>
          </w:p>
        </w:tc>
        <w:tc>
          <w:tcPr>
            <w:tcW w:w="2360" w:type="dxa"/>
          </w:tcPr>
          <w:p>
            <w:pPr>
              <w:pStyle w:val="TableParagraph"/>
              <w:rPr>
                <w:sz w:val="20"/>
              </w:rPr>
            </w:pPr>
          </w:p>
        </w:tc>
      </w:tr>
    </w:tbl>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before="0"/>
        <w:ind w:left="608" w:right="0" w:firstLine="0"/>
        <w:jc w:val="left"/>
        <w:rPr>
          <w:sz w:val="20"/>
        </w:rPr>
      </w:pPr>
      <w:r>
        <w:rPr>
          <w:rFonts w:ascii="Arial" w:hAnsi="Arial" w:cs="Arial" w:eastAsia="Arial"/>
          <w:sz w:val="20"/>
        </w:rPr>
        <w:t>by recording of vital signs in the supine position and in standing position (BP and pulse only), and lastly blood sampling.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0"/>
        <w:ind w:left="248" w:right="0" w:firstLine="0"/>
        <w:jc w:val="left"/>
        <w:rPr>
          <w:sz w:val="20"/>
        </w:rPr>
      </w:pPr>
      <w:r>
        <w:rPr>
          <w:rFonts w:ascii="Arial" w:hAnsi="Arial" w:cs="Arial" w:eastAsia="Arial"/>
          <w:sz w:val="18"/>
        </w:rPr>
        <w:t>d:</w:t>
        <w:tab/>
      </w:r>
      <w:r>
        <w:rPr>
          <w:rFonts w:ascii="Arial" w:hAnsi="Arial" w:cs="Arial" w:eastAsia="Arial"/>
          <w:sz w:val="20"/>
        </w:rPr>
        <w:t>At Screening, both height and weight will be measured. At all other visits, only weight will be</w:t>
      </w:r>
      <w:r>
        <w:rPr>
          <w:rFonts w:ascii="Arial" w:hAnsi="Arial" w:cs="Arial" w:eastAsia="Arial"/>
          <w:spacing w:val="-5"/>
          <w:sz w:val="20"/>
        </w:rPr>
        <w:t xml:space="preserve">  </w:t>
      </w:r>
      <w:r>
        <w:rPr>
          <w:rFonts w:ascii="Arial" w:hAnsi="Arial" w:cs="Arial" w:eastAsia="Arial"/>
          <w:sz w:val="20"/>
        </w:rPr>
        <w:t xml:space="preserve">  measured.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1"/>
        <w:ind w:left="608" w:right="1044" w:hanging="360"/>
        <w:jc w:val="left"/>
        <w:rPr>
          <w:sz w:val="20"/>
        </w:rPr>
      </w:pPr>
      <w:r>
        <w:rPr>
          <w:rFonts w:ascii="Arial" w:hAnsi="Arial" w:cs="Arial" w:eastAsia="Arial"/>
          <w:sz w:val="18"/>
        </w:rPr>
        <w:t>e:</w:t>
        <w:tab/>
      </w:r>
      <w:r>
        <w:rPr>
          <w:rFonts w:ascii="Arial" w:hAnsi="Arial" w:cs="Arial" w:eastAsia="Arial"/>
          <w:sz w:val="20"/>
        </w:rPr>
        <w:t>ECG</w:t>
      </w:r>
      <w:r>
        <w:rPr>
          <w:rFonts w:ascii="Arial" w:hAnsi="Arial" w:cs="Arial" w:eastAsia="Arial"/>
          <w:spacing w:val="-2"/>
          <w:sz w:val="20"/>
        </w:rPr>
        <w:t xml:space="preserve">  </w:t>
      </w:r>
      <w:r>
        <w:rPr>
          <w:rFonts w:ascii="Arial" w:hAnsi="Arial" w:cs="Arial" w:eastAsia="Arial"/>
          <w:sz w:val="20"/>
        </w:rPr>
        <w:t xml:space="preserve">  assessments</w:t>
      </w:r>
      <w:r>
        <w:rPr>
          <w:rFonts w:ascii="Arial" w:hAnsi="Arial" w:cs="Arial" w:eastAsia="Arial"/>
          <w:spacing w:val="-2"/>
          <w:sz w:val="20"/>
        </w:rPr>
        <w:t xml:space="preserve">  </w:t>
      </w:r>
      <w:r>
        <w:rPr>
          <w:rFonts w:ascii="Arial" w:hAnsi="Arial" w:cs="Arial" w:eastAsia="Arial"/>
          <w:sz w:val="20"/>
        </w:rPr>
        <w:t xml:space="preserve">  will</w:t>
      </w:r>
      <w:r>
        <w:rPr>
          <w:rFonts w:ascii="Arial" w:hAnsi="Arial" w:cs="Arial" w:eastAsia="Arial"/>
          <w:spacing w:val="-2"/>
          <w:sz w:val="20"/>
        </w:rPr>
        <w:t xml:space="preserve">  </w:t>
      </w:r>
      <w:r>
        <w:rPr>
          <w:rFonts w:ascii="Arial" w:hAnsi="Arial" w:cs="Arial" w:eastAsia="Arial"/>
          <w:sz w:val="20"/>
        </w:rPr>
        <w:t xml:space="preserve">  be</w:t>
      </w:r>
      <w:r>
        <w:rPr>
          <w:rFonts w:ascii="Arial" w:hAnsi="Arial" w:cs="Arial" w:eastAsia="Arial"/>
          <w:spacing w:val="-1"/>
          <w:sz w:val="20"/>
        </w:rPr>
        <w:t xml:space="preserve">  </w:t>
      </w:r>
      <w:r>
        <w:rPr>
          <w:rFonts w:ascii="Arial" w:hAnsi="Arial" w:cs="Arial" w:eastAsia="Arial"/>
          <w:sz w:val="20"/>
        </w:rPr>
        <w:t xml:space="preserve">  performed</w:t>
      </w:r>
      <w:r>
        <w:rPr>
          <w:rFonts w:ascii="Arial" w:hAnsi="Arial" w:cs="Arial" w:eastAsia="Arial"/>
          <w:spacing w:val="-2"/>
          <w:sz w:val="20"/>
        </w:rPr>
        <w:t xml:space="preserve">  </w:t>
      </w:r>
      <w:r>
        <w:rPr>
          <w:rFonts w:ascii="Arial" w:hAnsi="Arial" w:cs="Arial" w:eastAsia="Arial"/>
          <w:sz w:val="20"/>
        </w:rPr>
        <w:t xml:space="preserve">  in</w:t>
      </w:r>
      <w:r>
        <w:rPr>
          <w:rFonts w:ascii="Arial" w:hAnsi="Arial" w:cs="Arial" w:eastAsia="Arial"/>
          <w:spacing w:val="-2"/>
          <w:sz w:val="20"/>
        </w:rPr>
        <w:t xml:space="preserve">  </w:t>
      </w:r>
      <w:r>
        <w:rPr>
          <w:rFonts w:ascii="Arial" w:hAnsi="Arial" w:cs="Arial" w:eastAsia="Arial"/>
          <w:sz w:val="20"/>
        </w:rPr>
        <w:t xml:space="preserve">  the</w:t>
      </w:r>
      <w:r>
        <w:rPr>
          <w:rFonts w:ascii="Arial" w:hAnsi="Arial" w:cs="Arial" w:eastAsia="Arial"/>
          <w:spacing w:val="-1"/>
          <w:sz w:val="20"/>
        </w:rPr>
        <w:t xml:space="preserve">  </w:t>
      </w:r>
      <w:r>
        <w:rPr>
          <w:rFonts w:ascii="Arial" w:hAnsi="Arial" w:cs="Arial" w:eastAsia="Arial"/>
          <w:sz w:val="20"/>
        </w:rPr>
        <w:t xml:space="preserve">  supine</w:t>
      </w:r>
      <w:r>
        <w:rPr>
          <w:rFonts w:ascii="Arial" w:hAnsi="Arial" w:cs="Arial" w:eastAsia="Arial"/>
          <w:spacing w:val="-2"/>
          <w:sz w:val="20"/>
        </w:rPr>
        <w:t xml:space="preserve">  </w:t>
      </w:r>
      <w:r>
        <w:rPr>
          <w:rFonts w:ascii="Arial" w:hAnsi="Arial" w:cs="Arial" w:eastAsia="Arial"/>
          <w:sz w:val="20"/>
        </w:rPr>
        <w:t xml:space="preserve">  position</w:t>
      </w:r>
      <w:r>
        <w:rPr>
          <w:rFonts w:ascii="Arial" w:hAnsi="Arial" w:cs="Arial" w:eastAsia="Arial"/>
          <w:spacing w:val="-2"/>
          <w:sz w:val="20"/>
        </w:rPr>
        <w:t xml:space="preserve">  </w:t>
      </w:r>
      <w:r>
        <w:rPr>
          <w:rFonts w:ascii="Arial" w:hAnsi="Arial" w:cs="Arial" w:eastAsia="Arial"/>
          <w:sz w:val="20"/>
        </w:rPr>
        <w:t xml:space="preserve">  at</w:t>
      </w:r>
      <w:r>
        <w:rPr>
          <w:rFonts w:ascii="Arial" w:hAnsi="Arial" w:cs="Arial" w:eastAsia="Arial"/>
          <w:spacing w:val="-2"/>
          <w:sz w:val="20"/>
        </w:rPr>
        <w:t xml:space="preserve">  </w:t>
      </w:r>
      <w:r>
        <w:rPr>
          <w:rFonts w:ascii="Arial" w:hAnsi="Arial" w:cs="Arial" w:eastAsia="Arial"/>
          <w:sz w:val="20"/>
        </w:rPr>
        <w:t xml:space="preserve">  predose</w:t>
      </w:r>
      <w:r>
        <w:rPr>
          <w:rFonts w:ascii="Arial" w:hAnsi="Arial" w:cs="Arial" w:eastAsia="Arial"/>
          <w:spacing w:val="-1"/>
          <w:sz w:val="20"/>
        </w:rPr>
        <w:t xml:space="preserve">  </w:t>
      </w:r>
      <w:r>
        <w:rPr>
          <w:rFonts w:ascii="Arial" w:hAnsi="Arial" w:cs="Arial" w:eastAsia="Arial"/>
          <w:sz w:val="20"/>
        </w:rPr>
        <w:t xml:space="preserve">  and</w:t>
      </w:r>
      <w:r>
        <w:rPr>
          <w:rFonts w:ascii="Arial" w:hAnsi="Arial" w:cs="Arial" w:eastAsia="Arial"/>
          <w:spacing w:val="-2"/>
          <w:sz w:val="20"/>
        </w:rPr>
        <w:t xml:space="preserve">  </w:t>
      </w:r>
      <w:r>
        <w:rPr>
          <w:rFonts w:ascii="Arial" w:hAnsi="Arial" w:cs="Arial" w:eastAsia="Arial"/>
          <w:sz w:val="20"/>
        </w:rPr>
        <w:t xml:space="preserve">  4</w:t>
      </w:r>
      <w:r>
        <w:rPr>
          <w:rFonts w:ascii="Arial" w:hAnsi="Arial" w:cs="Arial" w:eastAsia="Arial"/>
          <w:spacing w:val="-2"/>
          <w:sz w:val="20"/>
        </w:rPr>
        <w:t xml:space="preserve">  </w:t>
      </w:r>
      <w:r>
        <w:rPr>
          <w:rFonts w:ascii="Arial" w:hAnsi="Arial" w:cs="Arial" w:eastAsia="Arial"/>
          <w:sz w:val="20"/>
        </w:rPr>
        <w:t xml:space="preserve">  hours</w:t>
      </w:r>
      <w:r>
        <w:rPr>
          <w:rFonts w:ascii="Arial" w:hAnsi="Arial" w:cs="Arial" w:eastAsia="Arial"/>
          <w:spacing w:val="-1"/>
          <w:sz w:val="20"/>
        </w:rPr>
        <w:t xml:space="preserve">  </w:t>
      </w:r>
      <w:r>
        <w:rPr>
          <w:rFonts w:ascii="Arial" w:hAnsi="Arial" w:cs="Arial" w:eastAsia="Arial"/>
          <w:sz w:val="20"/>
        </w:rPr>
        <w:t xml:space="preserve">  postdose</w:t>
      </w:r>
      <w:r>
        <w:rPr>
          <w:rFonts w:ascii="Arial" w:hAnsi="Arial" w:cs="Arial" w:eastAsia="Arial"/>
          <w:spacing w:val="-2"/>
          <w:sz w:val="20"/>
        </w:rPr>
        <w:t xml:space="preserve">  </w:t>
      </w:r>
      <w:r>
        <w:rPr>
          <w:rFonts w:ascii="Arial" w:hAnsi="Arial" w:cs="Arial" w:eastAsia="Arial"/>
          <w:sz w:val="20"/>
        </w:rPr>
        <w:t xml:space="preserve">  (on</w:t>
      </w:r>
      <w:r>
        <w:rPr>
          <w:rFonts w:ascii="Arial" w:hAnsi="Arial" w:cs="Arial" w:eastAsia="Arial"/>
          <w:spacing w:val="-2"/>
          <w:sz w:val="20"/>
        </w:rPr>
        <w:t xml:space="preserve">  </w:t>
      </w:r>
      <w:r>
        <w:rPr>
          <w:rFonts w:ascii="Arial" w:hAnsi="Arial" w:cs="Arial" w:eastAsia="Arial"/>
          <w:sz w:val="20"/>
        </w:rPr>
        <w:t xml:space="preserve">  each</w:t>
      </w:r>
      <w:r>
        <w:rPr>
          <w:rFonts w:ascii="Arial" w:hAnsi="Arial" w:cs="Arial" w:eastAsia="Arial"/>
          <w:spacing w:val="-2"/>
          <w:sz w:val="20"/>
        </w:rPr>
        <w:t xml:space="preserve">  </w:t>
      </w:r>
      <w:r>
        <w:rPr>
          <w:rFonts w:ascii="Arial" w:hAnsi="Arial" w:cs="Arial" w:eastAsia="Arial"/>
          <w:sz w:val="20"/>
        </w:rPr>
        <w:t xml:space="preserve">  dosing</w:t>
      </w:r>
      <w:r>
        <w:rPr>
          <w:rFonts w:ascii="Arial" w:hAnsi="Arial" w:cs="Arial" w:eastAsia="Arial"/>
          <w:spacing w:val="-1"/>
          <w:sz w:val="20"/>
        </w:rPr>
        <w:t xml:space="preserve">  </w:t>
      </w:r>
      <w:r>
        <w:rPr>
          <w:rFonts w:ascii="Arial" w:hAnsi="Arial" w:cs="Arial" w:eastAsia="Arial"/>
          <w:sz w:val="20"/>
        </w:rPr>
        <w:t xml:space="preserve">  day).</w:t>
      </w:r>
      <w:r>
        <w:rPr>
          <w:rFonts w:ascii="Arial" w:hAnsi="Arial" w:cs="Arial" w:eastAsia="Arial"/>
          <w:spacing w:val="-2"/>
          <w:sz w:val="20"/>
        </w:rPr>
        <w:t xml:space="preserve">  </w:t>
      </w:r>
      <w:r>
        <w:rPr>
          <w:rFonts w:ascii="Arial" w:hAnsi="Arial" w:cs="Arial" w:eastAsia="Arial"/>
          <w:sz w:val="20"/>
        </w:rPr>
        <w:t xml:space="preserve">  If</w:t>
      </w:r>
      <w:r>
        <w:rPr>
          <w:rFonts w:ascii="Arial" w:hAnsi="Arial" w:cs="Arial" w:eastAsia="Arial"/>
          <w:spacing w:val="-2"/>
          <w:sz w:val="20"/>
        </w:rPr>
        <w:t xml:space="preserve">  </w:t>
      </w:r>
      <w:r>
        <w:rPr>
          <w:rFonts w:ascii="Arial" w:hAnsi="Arial" w:cs="Arial" w:eastAsia="Arial"/>
          <w:sz w:val="20"/>
        </w:rPr>
        <w:t xml:space="preserve">  during</w:t>
      </w:r>
      <w:r>
        <w:rPr>
          <w:rFonts w:ascii="Arial" w:hAnsi="Arial" w:cs="Arial" w:eastAsia="Arial"/>
          <w:spacing w:val="-1"/>
          <w:sz w:val="20"/>
        </w:rPr>
        <w:t xml:space="preserve">  </w:t>
      </w:r>
      <w:r>
        <w:rPr>
          <w:rFonts w:ascii="Arial" w:hAnsi="Arial" w:cs="Arial" w:eastAsia="Arial"/>
          <w:sz w:val="20"/>
        </w:rPr>
        <w:t xml:space="preserve">  any</w:t>
      </w:r>
      <w:r>
        <w:rPr>
          <w:rFonts w:ascii="Arial" w:hAnsi="Arial" w:cs="Arial" w:eastAsia="Arial"/>
          <w:spacing w:val="2"/>
          <w:sz w:val="20"/>
        </w:rPr>
        <w:t xml:space="preserve">  </w:t>
      </w:r>
      <w:r>
        <w:rPr>
          <w:rFonts w:ascii="Arial" w:hAnsi="Arial" w:cs="Arial" w:eastAsia="Arial"/>
          <w:sz w:val="20"/>
        </w:rPr>
        <w:t xml:space="preserve">  visit</w:t>
      </w:r>
      <w:r>
        <w:rPr>
          <w:rFonts w:ascii="Arial" w:hAnsi="Arial" w:cs="Arial" w:eastAsia="Arial"/>
          <w:spacing w:val="-2"/>
          <w:sz w:val="20"/>
        </w:rPr>
        <w:t xml:space="preserve">  </w:t>
      </w:r>
      <w:r>
        <w:rPr>
          <w:rFonts w:ascii="Arial" w:hAnsi="Arial" w:cs="Arial" w:eastAsia="Arial"/>
          <w:sz w:val="20"/>
        </w:rPr>
        <w:t xml:space="preserve">  the</w:t>
      </w:r>
      <w:r>
        <w:rPr>
          <w:rFonts w:ascii="Arial" w:hAnsi="Arial" w:cs="Arial" w:eastAsia="Arial"/>
          <w:spacing w:val="-2"/>
          <w:sz w:val="20"/>
        </w:rPr>
        <w:t xml:space="preserve">  </w:t>
      </w:r>
      <w:r>
        <w:rPr>
          <w:rFonts w:ascii="Arial" w:hAnsi="Arial" w:cs="Arial" w:eastAsia="Arial"/>
          <w:sz w:val="20"/>
        </w:rPr>
        <w:t xml:space="preserve">  QTc</w:t>
      </w:r>
      <w:r>
        <w:rPr>
          <w:rFonts w:ascii="Arial" w:hAnsi="Arial" w:cs="Arial" w:eastAsia="Arial"/>
          <w:spacing w:val="-1"/>
          <w:sz w:val="20"/>
        </w:rPr>
        <w:t xml:space="preserve">  </w:t>
      </w:r>
      <w:r>
        <w:rPr>
          <w:rFonts w:ascii="Arial" w:hAnsi="Arial" w:cs="Arial" w:eastAsia="Arial"/>
          <w:sz w:val="20"/>
        </w:rPr>
        <w:t xml:space="preserve">  was measured as &gt;450 msec, 3 consecutive ECGs separated by 5 – 10 minutes will be performed to confirm the</w:t>
      </w:r>
      <w:r>
        <w:rPr>
          <w:rFonts w:ascii="Arial" w:hAnsi="Arial" w:cs="Arial" w:eastAsia="Arial"/>
          <w:spacing w:val="-10"/>
          <w:sz w:val="20"/>
        </w:rPr>
        <w:t xml:space="preserve">  </w:t>
      </w:r>
      <w:r>
        <w:rPr>
          <w:rFonts w:ascii="Arial" w:hAnsi="Arial" w:cs="Arial" w:eastAsia="Arial"/>
          <w:sz w:val="20"/>
        </w:rPr>
        <w:t xml:space="preserve">  abnormality.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58"/>
        <w:ind w:left="248" w:right="0" w:firstLine="0"/>
        <w:jc w:val="left"/>
        <w:rPr>
          <w:sz w:val="20"/>
        </w:rPr>
      </w:pPr>
      <w:r>
        <w:rPr>
          <w:rFonts w:ascii="Arial" w:hAnsi="Arial" w:cs="Arial" w:eastAsia="Arial"/>
          <w:sz w:val="18"/>
        </w:rPr>
        <w:t>f:</w:t>
        <w:tab/>
      </w:r>
      <w:r>
        <w:rPr>
          <w:rFonts w:ascii="Arial" w:hAnsi="Arial" w:cs="Arial" w:eastAsia="Arial"/>
          <w:sz w:val="20"/>
        </w:rPr>
        <w:t>During the unscheduled visits, ECG will only be done if the results from the previous visit were deemed to be clinically significant by the</w:t>
      </w:r>
      <w:r>
        <w:rPr>
          <w:rFonts w:ascii="Arial" w:hAnsi="Arial" w:cs="Arial" w:eastAsia="Arial"/>
          <w:spacing w:val="-28"/>
          <w:sz w:val="20"/>
        </w:rPr>
        <w:t xml:space="preserve">  </w:t>
      </w:r>
      <w:r>
        <w:rPr>
          <w:rFonts w:ascii="Arial" w:hAnsi="Arial" w:cs="Arial" w:eastAsia="Arial"/>
          <w:sz w:val="20"/>
        </w:rPr>
        <w:t xml:space="preserve">  investigator.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0"/>
        <w:ind w:left="248" w:right="0" w:firstLine="0"/>
        <w:jc w:val="left"/>
        <w:rPr>
          <w:sz w:val="20"/>
        </w:rPr>
      </w:pPr>
      <w:r>
        <w:rPr>
          <w:rFonts w:ascii="Arial" w:hAnsi="Arial" w:cs="Arial" w:eastAsia="Arial"/>
          <w:sz w:val="18"/>
        </w:rPr>
        <w:t>g:</w:t>
        <w:tab/>
      </w:r>
      <w:r>
        <w:rPr>
          <w:rFonts w:ascii="Arial" w:hAnsi="Arial" w:cs="Arial" w:eastAsia="Arial"/>
          <w:sz w:val="20"/>
        </w:rPr>
        <w:t>Clinical laboratory tests include hematology, blood chemistry, and</w:t>
      </w:r>
      <w:r>
        <w:rPr>
          <w:rFonts w:ascii="Arial" w:hAnsi="Arial" w:cs="Arial" w:eastAsia="Arial"/>
          <w:spacing w:val="-2"/>
          <w:sz w:val="20"/>
        </w:rPr>
        <w:t xml:space="preserve">  </w:t>
      </w:r>
      <w:r>
        <w:rPr>
          <w:rFonts w:ascii="Arial" w:hAnsi="Arial" w:cs="Arial" w:eastAsia="Arial"/>
          <w:sz w:val="20"/>
        </w:rPr>
        <w:t xml:space="preserve">  urinalysis.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1"/>
        <w:ind w:left="248" w:right="0" w:firstLine="0"/>
        <w:jc w:val="left"/>
        <w:rPr>
          <w:sz w:val="20"/>
        </w:rPr>
      </w:pPr>
      <w:r>
        <w:rPr>
          <w:rFonts w:ascii="Arial" w:hAnsi="Arial" w:cs="Arial" w:eastAsia="Arial"/>
          <w:sz w:val="18"/>
        </w:rPr>
        <w:t>h:</w:t>
        <w:tab/>
      </w:r>
      <w:r>
        <w:rPr>
          <w:rFonts w:ascii="Arial" w:hAnsi="Arial" w:cs="Arial" w:eastAsia="Arial"/>
          <w:sz w:val="20"/>
        </w:rPr>
        <w:t>Female subjects of childbearing potential</w:t>
      </w:r>
      <w:r>
        <w:rPr>
          <w:rFonts w:ascii="Arial" w:hAnsi="Arial" w:cs="Arial" w:eastAsia="Arial"/>
          <w:spacing w:val="-1"/>
          <w:sz w:val="20"/>
        </w:rPr>
        <w:t xml:space="preserve">  </w:t>
      </w:r>
      <w:r>
        <w:rPr>
          <w:rFonts w:ascii="Arial" w:hAnsi="Arial" w:cs="Arial" w:eastAsia="Arial"/>
          <w:sz w:val="20"/>
        </w:rPr>
        <w:t xml:space="preserve">  only.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0"/>
        <w:ind w:left="608" w:right="322" w:hanging="360"/>
        <w:jc w:val="left"/>
        <w:rPr>
          <w:sz w:val="20"/>
        </w:rPr>
      </w:pPr>
      <w:r>
        <w:rPr>
          <w:rFonts w:ascii="Arial" w:hAnsi="Arial" w:cs="Arial" w:eastAsia="Arial"/>
          <w:sz w:val="18"/>
        </w:rPr>
        <w:t>i:</w:t>
        <w:tab/>
      </w:r>
      <w:r>
        <w:rPr>
          <w:rFonts w:ascii="Arial" w:hAnsi="Arial" w:cs="Arial" w:eastAsia="Arial"/>
          <w:sz w:val="20"/>
        </w:rPr>
        <w:t>Blood samples for plasma PK will be obtained at predose and postdose at 1, 2, 4, 6, and 8 hours on Days 1, 22, and 43.</w:t>
      </w:r>
      <w:r>
        <w:rPr>
          <w:rFonts w:ascii="Arial" w:hAnsi="Arial" w:cs="Arial" w:eastAsia="Arial"/>
          <w:spacing w:val="10"/>
          <w:sz w:val="20"/>
        </w:rPr>
        <w:t xml:space="preserve">  </w:t>
      </w:r>
      <w:r>
        <w:rPr>
          <w:rFonts w:ascii="Arial" w:hAnsi="Arial" w:cs="Arial" w:eastAsia="Arial"/>
          <w:sz w:val="20"/>
        </w:rPr>
        <w:t xml:space="preserve">  In case of early discontinuation, a PK sample will be</w:t>
      </w:r>
      <w:r>
        <w:rPr>
          <w:rFonts w:ascii="Arial" w:hAnsi="Arial" w:cs="Arial" w:eastAsia="Arial"/>
          <w:spacing w:val="-1"/>
          <w:sz w:val="20"/>
        </w:rPr>
        <w:t xml:space="preserve">  </w:t>
      </w:r>
      <w:r>
        <w:rPr>
          <w:rFonts w:ascii="Arial" w:hAnsi="Arial" w:cs="Arial" w:eastAsia="Arial"/>
          <w:sz w:val="20"/>
        </w:rPr>
        <w:t xml:space="preserve">  taken.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59"/>
        <w:ind w:left="608" w:right="488" w:hanging="360"/>
        <w:jc w:val="left"/>
        <w:rPr>
          <w:sz w:val="20"/>
        </w:rPr>
      </w:pPr>
      <w:r>
        <w:rPr>
          <w:rFonts w:ascii="Arial" w:hAnsi="Arial" w:cs="Arial" w:eastAsia="Arial"/>
          <w:sz w:val="18"/>
        </w:rPr>
        <w:t>j:</w:t>
        <w:tab/>
      </w:r>
      <w:r>
        <w:rPr>
          <w:rFonts w:ascii="Arial" w:hAnsi="Arial" w:cs="Arial" w:eastAsia="Arial"/>
          <w:sz w:val="20"/>
        </w:rPr>
        <w:t>PGx participation is voluntary. For subjects who have provided separate written informed consent to participate in the PGx assessment, a blood sample for genomic DNA will be collected Day 1. If it cannot be collected at the designated time point, it may be collected at a time point after</w:t>
      </w:r>
      <w:r>
        <w:rPr>
          <w:rFonts w:ascii="Arial" w:hAnsi="Arial" w:cs="Arial" w:eastAsia="Arial"/>
          <w:spacing w:val="-30"/>
          <w:sz w:val="20"/>
        </w:rPr>
        <w:t xml:space="preserve">  </w:t>
      </w:r>
      <w:r>
        <w:rPr>
          <w:rFonts w:ascii="Arial" w:hAnsi="Arial" w:cs="Arial" w:eastAsia="Arial"/>
          <w:sz w:val="20"/>
        </w:rPr>
        <w:t xml:space="preserve">  baseline.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1"/>
        <w:ind w:left="248" w:right="0" w:firstLine="0"/>
        <w:jc w:val="left"/>
        <w:rPr>
          <w:sz w:val="20"/>
        </w:rPr>
      </w:pPr>
      <w:r>
        <w:rPr>
          <w:rFonts w:ascii="Arial" w:hAnsi="Arial" w:cs="Arial" w:eastAsia="Arial"/>
          <w:sz w:val="18"/>
        </w:rPr>
        <w:t>k:</w:t>
        <w:tab/>
      </w:r>
      <w:r>
        <w:rPr>
          <w:rFonts w:ascii="Arial" w:hAnsi="Arial" w:cs="Arial" w:eastAsia="Arial"/>
          <w:sz w:val="20"/>
        </w:rPr>
        <w:t>All PD assessments will be performed within ±15 minutes of the scheduled time</w:t>
      </w:r>
      <w:r>
        <w:rPr>
          <w:rFonts w:ascii="Arial" w:hAnsi="Arial" w:cs="Arial" w:eastAsia="Arial"/>
          <w:spacing w:val="2"/>
          <w:sz w:val="20"/>
        </w:rPr>
        <w:t xml:space="preserve">  </w:t>
      </w:r>
      <w:r>
        <w:rPr>
          <w:rFonts w:ascii="Arial" w:hAnsi="Arial" w:cs="Arial" w:eastAsia="Arial"/>
          <w:sz w:val="20"/>
        </w:rPr>
        <w:t xml:space="preserve">  point.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0"/>
        <w:ind w:left="248" w:right="0" w:firstLine="0"/>
        <w:jc w:val="left"/>
        <w:rPr>
          <w:sz w:val="20"/>
        </w:rPr>
      </w:pPr>
      <w:r>
        <w:rPr>
          <w:rFonts w:ascii="Arial" w:hAnsi="Arial" w:cs="Arial" w:eastAsia="Arial"/>
          <w:sz w:val="18"/>
        </w:rPr>
        <w:t>l:</w:t>
        <w:tab/>
      </w:r>
      <w:r>
        <w:rPr>
          <w:rFonts w:ascii="Arial" w:hAnsi="Arial" w:cs="Arial" w:eastAsia="Arial"/>
          <w:sz w:val="20"/>
        </w:rPr>
        <w:t>EEG-IPS assessment will be performed at 5 time points, over an approximately 4-hour time period (0, 1, 2, 3, and 4</w:t>
      </w:r>
      <w:r>
        <w:rPr>
          <w:rFonts w:ascii="Arial" w:hAnsi="Arial" w:cs="Arial" w:eastAsia="Arial"/>
          <w:spacing w:val="-11"/>
          <w:sz w:val="20"/>
        </w:rPr>
        <w:t xml:space="preserve">  </w:t>
      </w:r>
      <w:r>
        <w:rPr>
          <w:rFonts w:ascii="Arial" w:hAnsi="Arial" w:cs="Arial" w:eastAsia="Arial"/>
          <w:sz w:val="20"/>
        </w:rPr>
        <w:t xml:space="preserve">  hours).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line="229" w:lineRule="exact" w:before="60"/>
        <w:ind w:left="248" w:right="0" w:firstLine="0"/>
        <w:jc w:val="left"/>
        <w:rPr>
          <w:sz w:val="20"/>
        </w:rPr>
      </w:pPr>
      <w:r>
        <w:rPr>
          <w:rFonts w:ascii="Arial" w:hAnsi="Arial" w:cs="Arial" w:eastAsia="Arial"/>
          <w:sz w:val="18"/>
        </w:rPr>
        <w:t>m: </w:t>
      </w:r>
      <w:r>
        <w:rPr>
          <w:rFonts w:ascii="Arial" w:hAnsi="Arial" w:cs="Arial" w:eastAsia="Arial"/>
          <w:sz w:val="20"/>
        </w:rPr>
        <w:t xml:space="preserve">  EEG-IPS assessment will be performed 30 minutes to 2 hours predose and repeated at approximately 1, 2, 4, 6, and 8 hours postdose on Days 1, 22, and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line="229" w:lineRule="exact" w:before="0"/>
        <w:ind w:left="608" w:right="0" w:firstLine="0"/>
        <w:jc w:val="left"/>
        <w:rPr>
          <w:sz w:val="20"/>
        </w:rPr>
      </w:pPr>
      <w:r>
        <w:rPr>
          <w:rFonts w:ascii="Arial" w:hAnsi="Arial" w:cs="Arial" w:eastAsia="Arial"/>
          <w:sz w:val="20"/>
        </w:rPr>
        <w:t>43.</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608" w:val="left" w:leader="none"/>
        </w:tabs>
        <w:spacing w:before="61"/>
        <w:ind w:left="608" w:right="245" w:hanging="360"/>
        <w:jc w:val="left"/>
        <w:rPr>
          <w:sz w:val="20"/>
        </w:rPr>
      </w:pPr>
      <w:r>
        <w:rPr>
          <w:rFonts w:ascii="Arial" w:hAnsi="Arial" w:cs="Arial" w:eastAsia="Arial"/>
          <w:sz w:val="18"/>
        </w:rPr>
        <w:t>n:</w:t>
        <w:tab/>
      </w:r>
      <w:r>
        <w:rPr>
          <w:rFonts w:ascii="Arial" w:hAnsi="Arial" w:cs="Arial" w:eastAsia="Arial"/>
          <w:sz w:val="20"/>
        </w:rPr>
        <w:t>The</w:t>
      </w:r>
      <w:r>
        <w:rPr>
          <w:rFonts w:ascii="Arial" w:hAnsi="Arial" w:cs="Arial" w:eastAsia="Arial"/>
          <w:spacing w:val="-2"/>
          <w:sz w:val="20"/>
        </w:rPr>
        <w:t xml:space="preserve">  </w:t>
      </w:r>
      <w:r>
        <w:rPr>
          <w:rFonts w:ascii="Arial" w:hAnsi="Arial" w:cs="Arial" w:eastAsia="Arial"/>
          <w:sz w:val="20"/>
        </w:rPr>
        <w:t xml:space="preserve">  Bond</w:t>
      </w:r>
      <w:r>
        <w:rPr>
          <w:rFonts w:ascii="Arial" w:hAnsi="Arial" w:cs="Arial" w:eastAsia="Arial"/>
          <w:spacing w:val="-1"/>
          <w:sz w:val="20"/>
        </w:rPr>
        <w:t xml:space="preserve">  </w:t>
      </w:r>
      <w:r>
        <w:rPr>
          <w:rFonts w:ascii="Arial" w:hAnsi="Arial" w:cs="Arial" w:eastAsia="Arial"/>
          <w:sz w:val="20"/>
        </w:rPr>
        <w:t xml:space="preserve">  and</w:t>
      </w:r>
      <w:r>
        <w:rPr>
          <w:rFonts w:ascii="Arial" w:hAnsi="Arial" w:cs="Arial" w:eastAsia="Arial"/>
          <w:spacing w:val="-2"/>
          <w:sz w:val="20"/>
        </w:rPr>
        <w:t xml:space="preserve">  </w:t>
      </w:r>
      <w:r>
        <w:rPr>
          <w:rFonts w:ascii="Arial" w:hAnsi="Arial" w:cs="Arial" w:eastAsia="Arial"/>
          <w:sz w:val="20"/>
        </w:rPr>
        <w:t xml:space="preserve">  Lader</w:t>
      </w:r>
      <w:r>
        <w:rPr>
          <w:rFonts w:ascii="Arial" w:hAnsi="Arial" w:cs="Arial" w:eastAsia="Arial"/>
          <w:spacing w:val="-1"/>
          <w:sz w:val="20"/>
        </w:rPr>
        <w:t xml:space="preserve">  </w:t>
      </w:r>
      <w:r>
        <w:rPr>
          <w:rFonts w:ascii="Arial" w:hAnsi="Arial" w:cs="Arial" w:eastAsia="Arial"/>
          <w:sz w:val="20"/>
        </w:rPr>
        <w:t xml:space="preserve">  VAS</w:t>
      </w:r>
      <w:r>
        <w:rPr>
          <w:rFonts w:ascii="Arial" w:hAnsi="Arial" w:cs="Arial" w:eastAsia="Arial"/>
          <w:spacing w:val="-2"/>
          <w:sz w:val="20"/>
        </w:rPr>
        <w:t xml:space="preserve">  </w:t>
      </w:r>
      <w:r>
        <w:rPr>
          <w:rFonts w:ascii="Arial" w:hAnsi="Arial" w:cs="Arial" w:eastAsia="Arial"/>
          <w:sz w:val="20"/>
        </w:rPr>
        <w:t xml:space="preserve">  for</w:t>
      </w:r>
      <w:r>
        <w:rPr>
          <w:rFonts w:ascii="Arial" w:hAnsi="Arial" w:cs="Arial" w:eastAsia="Arial"/>
          <w:spacing w:val="-1"/>
          <w:sz w:val="20"/>
        </w:rPr>
        <w:t xml:space="preserve">  </w:t>
      </w:r>
      <w:r>
        <w:rPr>
          <w:rFonts w:ascii="Arial" w:hAnsi="Arial" w:cs="Arial" w:eastAsia="Arial"/>
          <w:sz w:val="20"/>
        </w:rPr>
        <w:t xml:space="preserve">  CNS–related</w:t>
      </w:r>
      <w:r>
        <w:rPr>
          <w:rFonts w:ascii="Arial" w:hAnsi="Arial" w:cs="Arial" w:eastAsia="Arial"/>
          <w:spacing w:val="-2"/>
          <w:sz w:val="20"/>
        </w:rPr>
        <w:t xml:space="preserve">  </w:t>
      </w:r>
      <w:r>
        <w:rPr>
          <w:rFonts w:ascii="Arial" w:hAnsi="Arial" w:cs="Arial" w:eastAsia="Arial"/>
          <w:sz w:val="20"/>
        </w:rPr>
        <w:t xml:space="preserve">  sedation</w:t>
      </w:r>
      <w:r>
        <w:rPr>
          <w:rFonts w:ascii="Arial" w:hAnsi="Arial" w:cs="Arial" w:eastAsia="Arial"/>
          <w:spacing w:val="-1"/>
          <w:sz w:val="20"/>
        </w:rPr>
        <w:t xml:space="preserve">  </w:t>
      </w:r>
      <w:r>
        <w:rPr>
          <w:rFonts w:ascii="Arial" w:hAnsi="Arial" w:cs="Arial" w:eastAsia="Arial"/>
          <w:sz w:val="20"/>
        </w:rPr>
        <w:t xml:space="preserve">  side</w:t>
      </w:r>
      <w:r>
        <w:rPr>
          <w:rFonts w:ascii="Arial" w:hAnsi="Arial" w:cs="Arial" w:eastAsia="Arial"/>
          <w:spacing w:val="-2"/>
          <w:sz w:val="20"/>
        </w:rPr>
        <w:t xml:space="preserve">  </w:t>
      </w:r>
      <w:r>
        <w:rPr>
          <w:rFonts w:ascii="Arial" w:hAnsi="Arial" w:cs="Arial" w:eastAsia="Arial"/>
          <w:sz w:val="20"/>
        </w:rPr>
        <w:t xml:space="preserve">  effects</w:t>
      </w:r>
      <w:r>
        <w:rPr>
          <w:rFonts w:ascii="Arial" w:hAnsi="Arial" w:cs="Arial" w:eastAsia="Arial"/>
          <w:spacing w:val="-1"/>
          <w:sz w:val="20"/>
        </w:rPr>
        <w:t xml:space="preserve">  </w:t>
      </w:r>
      <w:r>
        <w:rPr>
          <w:rFonts w:ascii="Arial" w:hAnsi="Arial" w:cs="Arial" w:eastAsia="Arial"/>
          <w:sz w:val="20"/>
        </w:rPr>
        <w:t xml:space="preserve">  will</w:t>
      </w:r>
      <w:r>
        <w:rPr>
          <w:rFonts w:ascii="Arial" w:hAnsi="Arial" w:cs="Arial" w:eastAsia="Arial"/>
          <w:spacing w:val="-2"/>
          <w:sz w:val="20"/>
        </w:rPr>
        <w:t xml:space="preserve">  </w:t>
      </w:r>
      <w:r>
        <w:rPr>
          <w:rFonts w:ascii="Arial" w:hAnsi="Arial" w:cs="Arial" w:eastAsia="Arial"/>
          <w:sz w:val="20"/>
        </w:rPr>
        <w:t xml:space="preserve">  be</w:t>
      </w:r>
      <w:r>
        <w:rPr>
          <w:rFonts w:ascii="Arial" w:hAnsi="Arial" w:cs="Arial" w:eastAsia="Arial"/>
          <w:spacing w:val="-1"/>
          <w:sz w:val="20"/>
        </w:rPr>
        <w:t xml:space="preserve">  </w:t>
      </w:r>
      <w:r>
        <w:rPr>
          <w:rFonts w:ascii="Arial" w:hAnsi="Arial" w:cs="Arial" w:eastAsia="Arial"/>
          <w:sz w:val="20"/>
        </w:rPr>
        <w:t xml:space="preserve">  measured</w:t>
      </w:r>
      <w:r>
        <w:rPr>
          <w:rFonts w:ascii="Arial" w:hAnsi="Arial" w:cs="Arial" w:eastAsia="Arial"/>
          <w:spacing w:val="-2"/>
          <w:sz w:val="20"/>
        </w:rPr>
        <w:t xml:space="preserve">  </w:t>
      </w:r>
      <w:r>
        <w:rPr>
          <w:rFonts w:ascii="Arial" w:hAnsi="Arial" w:cs="Arial" w:eastAsia="Arial"/>
          <w:sz w:val="20"/>
        </w:rPr>
        <w:t xml:space="preserve">  from</w:t>
      </w:r>
      <w:r>
        <w:rPr>
          <w:rFonts w:ascii="Arial" w:hAnsi="Arial" w:cs="Arial" w:eastAsia="Arial"/>
          <w:spacing w:val="-1"/>
          <w:sz w:val="20"/>
        </w:rPr>
        <w:t xml:space="preserve">  </w:t>
      </w:r>
      <w:r>
        <w:rPr>
          <w:rFonts w:ascii="Arial" w:hAnsi="Arial" w:cs="Arial" w:eastAsia="Arial"/>
          <w:sz w:val="20"/>
        </w:rPr>
        <w:t xml:space="preserve">  each</w:t>
      </w:r>
      <w:r>
        <w:rPr>
          <w:rFonts w:ascii="Arial" w:hAnsi="Arial" w:cs="Arial" w:eastAsia="Arial"/>
          <w:spacing w:val="-2"/>
          <w:sz w:val="20"/>
        </w:rPr>
        <w:t xml:space="preserve">  </w:t>
      </w:r>
      <w:r>
        <w:rPr>
          <w:rFonts w:ascii="Arial" w:hAnsi="Arial" w:cs="Arial" w:eastAsia="Arial"/>
          <w:sz w:val="20"/>
        </w:rPr>
        <w:t xml:space="preserve">  subject</w:t>
      </w:r>
      <w:r>
        <w:rPr>
          <w:rFonts w:ascii="Arial" w:hAnsi="Arial" w:cs="Arial" w:eastAsia="Arial"/>
          <w:spacing w:val="-1"/>
          <w:sz w:val="20"/>
        </w:rPr>
        <w:t xml:space="preserve">  </w:t>
      </w:r>
      <w:r>
        <w:rPr>
          <w:rFonts w:ascii="Arial" w:hAnsi="Arial" w:cs="Arial" w:eastAsia="Arial"/>
          <w:sz w:val="20"/>
        </w:rPr>
        <w:t xml:space="preserve">  at</w:t>
      </w:r>
      <w:r>
        <w:rPr>
          <w:rFonts w:ascii="Arial" w:hAnsi="Arial" w:cs="Arial" w:eastAsia="Arial"/>
          <w:spacing w:val="-2"/>
          <w:sz w:val="20"/>
        </w:rPr>
        <w:t xml:space="preserve">  </w:t>
      </w:r>
      <w:r>
        <w:rPr>
          <w:rFonts w:ascii="Arial" w:hAnsi="Arial" w:cs="Arial" w:eastAsia="Arial"/>
          <w:sz w:val="20"/>
        </w:rPr>
        <w:t xml:space="preserve">  predose,</w:t>
      </w:r>
      <w:r>
        <w:rPr>
          <w:rFonts w:ascii="Arial" w:hAnsi="Arial" w:cs="Arial" w:eastAsia="Arial"/>
          <w:spacing w:val="-1"/>
          <w:sz w:val="20"/>
        </w:rPr>
        <w:t xml:space="preserve">  </w:t>
      </w:r>
      <w:r>
        <w:rPr>
          <w:rFonts w:ascii="Arial" w:hAnsi="Arial" w:cs="Arial" w:eastAsia="Arial"/>
          <w:sz w:val="20"/>
        </w:rPr>
        <w:t xml:space="preserve">  1,</w:t>
      </w:r>
      <w:r>
        <w:rPr>
          <w:rFonts w:ascii="Arial" w:hAnsi="Arial" w:cs="Arial" w:eastAsia="Arial"/>
          <w:spacing w:val="-2"/>
          <w:sz w:val="20"/>
        </w:rPr>
        <w:t xml:space="preserve">  </w:t>
      </w:r>
      <w:r>
        <w:rPr>
          <w:rFonts w:ascii="Arial" w:hAnsi="Arial" w:cs="Arial" w:eastAsia="Arial"/>
          <w:sz w:val="20"/>
        </w:rPr>
        <w:t xml:space="preserve">  2,</w:t>
      </w:r>
      <w:r>
        <w:rPr>
          <w:rFonts w:ascii="Arial" w:hAnsi="Arial" w:cs="Arial" w:eastAsia="Arial"/>
          <w:spacing w:val="-1"/>
          <w:sz w:val="20"/>
        </w:rPr>
        <w:t xml:space="preserve">  </w:t>
      </w:r>
      <w:r>
        <w:rPr>
          <w:rFonts w:ascii="Arial" w:hAnsi="Arial" w:cs="Arial" w:eastAsia="Arial"/>
          <w:sz w:val="20"/>
        </w:rPr>
        <w:t xml:space="preserve">  4,</w:t>
      </w:r>
      <w:r>
        <w:rPr>
          <w:rFonts w:ascii="Arial" w:hAnsi="Arial" w:cs="Arial" w:eastAsia="Arial"/>
          <w:spacing w:val="-2"/>
          <w:sz w:val="20"/>
        </w:rPr>
        <w:t xml:space="preserve">  </w:t>
      </w:r>
      <w:r>
        <w:rPr>
          <w:rFonts w:ascii="Arial" w:hAnsi="Arial" w:cs="Arial" w:eastAsia="Arial"/>
          <w:sz w:val="20"/>
        </w:rPr>
        <w:t xml:space="preserve">  6,</w:t>
      </w:r>
      <w:r>
        <w:rPr>
          <w:rFonts w:ascii="Arial" w:hAnsi="Arial" w:cs="Arial" w:eastAsia="Arial"/>
          <w:spacing w:val="-1"/>
          <w:sz w:val="20"/>
        </w:rPr>
        <w:t xml:space="preserve">  </w:t>
      </w:r>
      <w:r>
        <w:rPr>
          <w:rFonts w:ascii="Arial" w:hAnsi="Arial" w:cs="Arial" w:eastAsia="Arial"/>
          <w:sz w:val="20"/>
        </w:rPr>
        <w:t xml:space="preserve">  and</w:t>
      </w:r>
      <w:r>
        <w:rPr>
          <w:rFonts w:ascii="Arial" w:hAnsi="Arial" w:cs="Arial" w:eastAsia="Arial"/>
          <w:spacing w:val="-2"/>
          <w:sz w:val="20"/>
        </w:rPr>
        <w:t xml:space="preserve">  </w:t>
      </w:r>
      <w:r>
        <w:rPr>
          <w:rFonts w:ascii="Arial" w:hAnsi="Arial" w:cs="Arial" w:eastAsia="Arial"/>
          <w:sz w:val="20"/>
        </w:rPr>
        <w:t xml:space="preserve">  8</w:t>
      </w:r>
      <w:r>
        <w:rPr>
          <w:rFonts w:ascii="Arial" w:hAnsi="Arial" w:cs="Arial" w:eastAsia="Arial"/>
          <w:spacing w:val="-1"/>
          <w:sz w:val="20"/>
        </w:rPr>
        <w:t xml:space="preserve">  </w:t>
      </w:r>
      <w:r>
        <w:rPr>
          <w:rFonts w:ascii="Arial" w:hAnsi="Arial" w:cs="Arial" w:eastAsia="Arial"/>
          <w:sz w:val="20"/>
        </w:rPr>
        <w:t xml:space="preserve">  hours</w:t>
      </w:r>
      <w:r>
        <w:rPr>
          <w:rFonts w:ascii="Arial" w:hAnsi="Arial" w:cs="Arial" w:eastAsia="Arial"/>
          <w:spacing w:val="-2"/>
          <w:sz w:val="20"/>
        </w:rPr>
        <w:t xml:space="preserve">  </w:t>
      </w:r>
      <w:r>
        <w:rPr>
          <w:rFonts w:ascii="Arial" w:hAnsi="Arial" w:cs="Arial" w:eastAsia="Arial"/>
          <w:sz w:val="20"/>
        </w:rPr>
        <w:t xml:space="preserve">  postdose</w:t>
      </w:r>
      <w:r>
        <w:rPr>
          <w:rFonts w:ascii="Arial" w:hAnsi="Arial" w:cs="Arial" w:eastAsia="Arial"/>
          <w:spacing w:val="-1"/>
          <w:sz w:val="20"/>
        </w:rPr>
        <w:t xml:space="preserve">  </w:t>
      </w:r>
      <w:r>
        <w:rPr>
          <w:rFonts w:ascii="Arial" w:hAnsi="Arial" w:cs="Arial" w:eastAsia="Arial"/>
          <w:sz w:val="20"/>
        </w:rPr>
        <w:t xml:space="preserve">  on</w:t>
      </w:r>
      <w:r>
        <w:rPr>
          <w:rFonts w:ascii="Arial" w:hAnsi="Arial" w:cs="Arial" w:eastAsia="Arial"/>
          <w:spacing w:val="-2"/>
          <w:sz w:val="20"/>
        </w:rPr>
        <w:t xml:space="preserve">  </w:t>
      </w:r>
      <w:r>
        <w:rPr>
          <w:rFonts w:ascii="Arial" w:hAnsi="Arial" w:cs="Arial" w:eastAsia="Arial"/>
          <w:sz w:val="20"/>
        </w:rPr>
        <w:t xml:space="preserve">  Days</w:t>
      </w:r>
      <w:r>
        <w:rPr>
          <w:rFonts w:ascii="Arial" w:hAnsi="Arial" w:cs="Arial" w:eastAsia="Arial"/>
          <w:spacing w:val="-1"/>
          <w:sz w:val="20"/>
        </w:rPr>
        <w:t xml:space="preserve">  </w:t>
      </w:r>
      <w:r>
        <w:rPr>
          <w:rFonts w:ascii="Arial" w:hAnsi="Arial" w:cs="Arial" w:eastAsia="Arial"/>
          <w:sz w:val="20"/>
        </w:rPr>
        <w:t xml:space="preserve">  1, 22, and</w:t>
      </w:r>
      <w:r>
        <w:rPr>
          <w:rFonts w:ascii="Arial" w:hAnsi="Arial" w:cs="Arial" w:eastAsia="Arial"/>
          <w:spacing w:val="-1"/>
          <w:sz w:val="20"/>
        </w:rPr>
        <w:t xml:space="preserve">  </w:t>
      </w:r>
      <w:r>
        <w:rPr>
          <w:rFonts w:ascii="Arial" w:hAnsi="Arial" w:cs="Arial" w:eastAsia="Arial"/>
          <w:sz w:val="20"/>
        </w:rPr>
        <w:t xml:space="preserve">  43.</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after="0"/>
        <w:jc w:val="left"/>
        <w:rPr>
          <w:sz w:val="20"/>
        </w:rPr>
        <w:sectPr>
          <w:pgSz w:w="15840" w:h="12240" w:orient="landscape"/>
          <w:pgMar w:header="953" w:footer="1220" w:top="1200" w:bottom="1420" w:left="1280" w:right="1320"/>
        </w:sect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302"/>
      </w:pPr>
      <w:hyperlink w:history="true" w:anchor="_bookmark79">
        <w:r>
          <w:rPr>
            <w:rFonts w:ascii="Arial" w:hAnsi="Arial" w:cs="Arial" w:eastAsia="Arial"/>
            <w:color w:val="0000FF"/>
          </w:rPr>
          <w:t>Table 6</w:t>
        </w:r>
      </w:hyperlink>
      <w:r>
        <w:rPr>
          <w:rFonts w:ascii="Arial" w:hAnsi="Arial" w:cs="Arial" w:eastAsia="Arial"/>
          <w:color w:val="0000FF"/>
        </w:rPr>
        <w:t xml:space="preserve">  </w:t>
      </w:r>
      <w:r>
        <w:rPr>
          <w:rFonts w:ascii="Arial" w:hAnsi="Arial" w:cs="Arial" w:eastAsia="Arial"/>
        </w:rPr>
        <w:t xml:space="preserve">  presents the blood sampling schedule for pharmacokinetic assessments. In case of early discontinuation, a PK sample will be taken.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6"/>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tabs>
          <w:tab w:pos="1771" w:val="left" w:leader="none"/>
        </w:tabs>
        <w:ind w:left="331"/>
        <w:rPr>
          <w:rFonts w:ascii="Arial"/>
        </w:rPr>
      </w:pPr>
      <w:bookmarkStart w:name="_bookmark79" w:id="213"/>
      <w:bookmarkEnd w:id="213"/>
      <w:r>
        <w:rPr>
          <w:rFonts w:ascii="Arial" w:hAnsi="Arial" w:cs="Arial" w:eastAsia="Arial"/>
          <w:b w:val="0"/>
        </w:rPr>
      </w:r>
      <w:r>
        <w:rPr>
          <w:rFonts w:ascii="Arial" w:hAnsi="Arial" w:cs="Arial" w:eastAsia="Arial"/>
        </w:rPr>
        <w:t>Table</w:t>
      </w:r>
      <w:r>
        <w:rPr>
          <w:rFonts w:ascii="Arial" w:hAnsi="Arial" w:cs="Arial" w:eastAsia="Arial"/>
          <w:spacing w:val="1"/>
        </w:rPr>
        <w:t xml:space="preserve">  </w:t>
      </w:r>
      <w:r>
        <w:rPr>
          <w:rFonts w:ascii="Arial" w:hAnsi="Arial" w:cs="Arial" w:eastAsia="Arial"/>
        </w:rPr>
        <w:t xml:space="preserve">  6</w:t>
        <w:tab/>
        <w:t>Blood Sampling Schedule for Pharmacokinetic</w:t>
      </w:r>
      <w:r>
        <w:rPr>
          <w:rFonts w:ascii="Arial" w:hAnsi="Arial" w:cs="Arial" w:eastAsia="Arial"/>
          <w:spacing w:val="-3"/>
        </w:rPr>
        <w:t xml:space="preserve">  </w:t>
      </w:r>
      <w:r>
        <w:rPr>
          <w:rFonts w:ascii="Arial" w:hAnsi="Arial" w:cs="Arial" w:eastAsia="Arial"/>
        </w:rPr>
        <w:t xml:space="preserve">  Assessments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after="1"/>
        <w:rPr>
          <w:rFonts w:ascii="Arial"/>
          <w:b/>
          <w:sz w:val="10"/>
        </w:rPr>
      </w:pPr>
    </w:p>
    <w:tbl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tblPr>
        <w:tblW w:w="0" w:type="auto"/>
        <w:jc w:val="left"/>
        <w:tblInd w:w="2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91"/>
        <w:gridCol w:w="3482"/>
        <w:gridCol w:w="2959"/>
      </w:tblGrid>
      <w:tr>
        <w:trPr>
          <w:trHeight w:val="309" w:hRule="atLeast"/>
        </w:trPr>
        <w:tc>
          <w:tcPr>
            <w:tcW w:w="2491" w:type="dxa"/>
          </w:tcPr>
          <w:p>
            <w:pPr>
              <w:pStyle w:val="TableParagraph"/>
              <w:spacing w:before="38"/>
              <w:ind w:left="57"/>
              <w:rPr>
                <w:b/>
                <w:sz w:val="20"/>
              </w:rPr>
            </w:pPr>
            <w:r>
              <w:rPr>
                <w:rFonts w:ascii="Arial" w:hAnsi="Arial" w:cs="Arial" w:eastAsia="Arial"/>
                <w:b/>
                <w:sz w:val="20"/>
              </w:rPr>
              <w:t>Days</w:t>
            </w:r>
          </w:p>
        </w:tc>
        <w:tc>
          <w:tcPr>
            <w:tcW w:w="3482" w:type="dxa"/>
          </w:tcPr>
          <w:p>
            <w:pPr>
              <w:pStyle w:val="TableParagraph"/>
              <w:spacing w:before="38"/>
              <w:ind w:left="176" w:right="166"/>
              <w:jc w:val="center"/>
              <w:rPr>
                <w:b/>
                <w:sz w:val="20"/>
              </w:rPr>
            </w:pPr>
            <w:r>
              <w:rPr>
                <w:rFonts w:ascii="Arial" w:hAnsi="Arial" w:cs="Arial" w:eastAsia="Arial"/>
                <w:b/>
                <w:sz w:val="20"/>
              </w:rPr>
              <w:t>Time Relative to the Administration</w:t>
            </w:r>
          </w:p>
        </w:tc>
        <w:tc>
          <w:tcPr>
            <w:tcW w:w="2959" w:type="dxa"/>
          </w:tcPr>
          <w:p>
            <w:pPr>
              <w:pStyle w:val="TableParagraph"/>
              <w:spacing w:before="38"/>
              <w:ind w:left="350" w:right="347"/>
              <w:jc w:val="center"/>
              <w:rPr>
                <w:b/>
                <w:sz w:val="20"/>
              </w:rPr>
            </w:pPr>
            <w:r>
              <w:rPr>
                <w:rFonts w:ascii="Arial" w:hAnsi="Arial" w:cs="Arial" w:eastAsia="Arial"/>
                <w:b/>
                <w:sz w:val="20"/>
              </w:rPr>
              <w:t>Acceptable Time Window</w:t>
            </w:r>
          </w:p>
        </w:tc>
      </w:tr>
      <w:tr>
        <w:trPr>
          <w:trHeight w:val="311" w:hRule="atLeast"/>
        </w:trPr>
        <w:tc>
          <w:tcPr>
            <w:tcW w:w="2491" w:type="dxa"/>
            <w:vMerge w:val="restart"/>
          </w:tcPr>
          <w:p>
            <w:pPr>
              <w:pStyle w:val="TableParagraph"/>
              <w:spacing w:before="1"/>
              <w:rPr>
                <w:rFonts w:ascii="Arial"/>
                <w:b/>
                <w:sz w:val="32"/>
              </w:rPr>
            </w:pPr>
          </w:p>
          <w:p>
            <w:pPr>
              <w:pStyle w:val="TableParagraph"/>
              <w:spacing w:before="1"/>
              <w:ind w:left="57"/>
              <w:rPr>
                <w:sz w:val="20"/>
              </w:rPr>
            </w:pPr>
            <w:r>
              <w:rPr>
                <w:rFonts w:ascii="Arial" w:hAnsi="Arial" w:cs="Arial" w:eastAsia="Arial"/>
                <w:sz w:val="20"/>
              </w:rPr>
              <w:t>Day 1 (Visit 2),</w:t>
            </w:r>
          </w:p>
          <w:p>
            <w:pPr>
              <w:pStyle w:val="TableParagraph"/>
              <w:spacing w:before="39"/>
              <w:ind w:left="57"/>
              <w:rPr>
                <w:sz w:val="20"/>
              </w:rPr>
            </w:pPr>
            <w:r>
              <w:rPr>
                <w:rFonts w:ascii="Arial" w:hAnsi="Arial" w:cs="Arial" w:eastAsia="Arial"/>
                <w:sz w:val="20"/>
              </w:rPr>
              <w:t>Day 22 (Visit 3) (</w:t>
            </w:r>
            <w:r>
              <w:rPr>
                <w:rFonts w:ascii="Arial" w:hAnsi="Arial" w:cs="Arial" w:eastAsia="Arial"/>
                <w:sz w:val="22"/>
              </w:rPr>
              <w:t>±</w:t>
            </w:r>
            <w:r>
              <w:rPr>
                <w:rFonts w:ascii="Arial" w:hAnsi="Arial" w:cs="Arial" w:eastAsia="Arial"/>
                <w:sz w:val="20"/>
              </w:rPr>
              <w:t>3 days),</w:t>
            </w:r>
          </w:p>
          <w:p>
            <w:pPr>
              <w:pStyle w:val="TableParagraph"/>
              <w:spacing w:before="40"/>
              <w:ind w:left="57"/>
              <w:rPr>
                <w:sz w:val="20"/>
              </w:rPr>
            </w:pPr>
            <w:r>
              <w:rPr>
                <w:rFonts w:ascii="Arial" w:hAnsi="Arial" w:cs="Arial" w:eastAsia="Arial"/>
                <w:sz w:val="20"/>
              </w:rPr>
              <w:t>Day 43 (Visit 4) (</w:t>
            </w:r>
            <w:r>
              <w:rPr>
                <w:rFonts w:ascii="Arial" w:hAnsi="Arial" w:cs="Arial" w:eastAsia="Arial"/>
                <w:sz w:val="22"/>
              </w:rPr>
              <w:t>±</w:t>
            </w:r>
            <w:r>
              <w:rPr>
                <w:rFonts w:ascii="Arial" w:hAnsi="Arial" w:cs="Arial" w:eastAsia="Arial"/>
                <w:sz w:val="20"/>
              </w:rPr>
              <w:t>3 days)</w:t>
            </w:r>
          </w:p>
        </w:tc>
        <w:tc>
          <w:tcPr>
            <w:tcW w:w="3482" w:type="dxa"/>
          </w:tcPr>
          <w:p>
            <w:pPr>
              <w:pStyle w:val="TableParagraph"/>
              <w:spacing w:before="34"/>
              <w:ind w:left="173" w:right="166"/>
              <w:jc w:val="center"/>
              <w:rPr>
                <w:sz w:val="20"/>
              </w:rPr>
            </w:pPr>
            <w:r>
              <w:rPr>
                <w:rFonts w:ascii="Arial" w:hAnsi="Arial" w:cs="Arial" w:eastAsia="Arial"/>
                <w:sz w:val="20"/>
              </w:rPr>
              <w:t>Predose</w:t>
            </w:r>
          </w:p>
        </w:tc>
        <w:tc>
          <w:tcPr>
            <w:tcW w:w="2959" w:type="dxa"/>
          </w:tcPr>
          <w:p>
            <w:pPr>
              <w:pStyle w:val="TableParagraph"/>
              <w:spacing w:before="34"/>
              <w:ind w:left="350" w:right="344"/>
              <w:jc w:val="center"/>
              <w:rPr>
                <w:sz w:val="20"/>
              </w:rPr>
            </w:pPr>
            <w:r>
              <w:rPr>
                <w:rFonts w:ascii="Arial" w:hAnsi="Arial" w:cs="Arial" w:eastAsia="Arial"/>
                <w:sz w:val="20"/>
              </w:rPr>
              <w:t>–2 hours</w:t>
            </w:r>
          </w:p>
        </w:tc>
      </w:tr>
      <w:tr>
        <w:trPr>
          <w:trHeight w:val="309" w:hRule="atLeast"/>
        </w:trPr>
        <w:tc>
          <w:tcPr>
            <w:tcW w:w="2491" w:type="dxa"/>
            <w:vMerge/>
            <w:tcBorders>
              <w:top w:val="nil"/>
            </w:tcBorders>
          </w:tcPr>
          <w:p>
            <w:pPr>
              <w:rPr>
                <w:sz w:val="2"/>
                <w:szCs w:val="2"/>
              </w:rPr>
            </w:pPr>
          </w:p>
        </w:tc>
        <w:tc>
          <w:tcPr>
            <w:tcW w:w="3482" w:type="dxa"/>
          </w:tcPr>
          <w:p>
            <w:pPr>
              <w:pStyle w:val="TableParagraph"/>
              <w:spacing w:before="34"/>
              <w:ind w:left="176" w:right="165"/>
              <w:jc w:val="center"/>
              <w:rPr>
                <w:sz w:val="20"/>
              </w:rPr>
            </w:pPr>
            <w:r>
              <w:rPr>
                <w:rFonts w:ascii="Arial" w:hAnsi="Arial" w:cs="Arial" w:eastAsia="Arial"/>
                <w:sz w:val="20"/>
              </w:rPr>
              <w:t>1 and 2 hours</w:t>
            </w:r>
          </w:p>
        </w:tc>
        <w:tc>
          <w:tcPr>
            <w:tcW w:w="2959" w:type="dxa"/>
          </w:tcPr>
          <w:p>
            <w:pPr>
              <w:pStyle w:val="TableParagraph"/>
              <w:spacing w:before="34"/>
              <w:ind w:left="350" w:right="344"/>
              <w:jc w:val="center"/>
              <w:rPr>
                <w:sz w:val="20"/>
              </w:rPr>
            </w:pPr>
            <w:r>
              <w:rPr>
                <w:rFonts w:ascii="Arial" w:hAnsi="Arial" w:cs="Arial" w:eastAsia="Arial"/>
                <w:sz w:val="20"/>
              </w:rPr>
              <w:t>±5 minutes</w:t>
            </w:r>
          </w:p>
        </w:tc>
      </w:tr>
      <w:tr>
        <w:trPr>
          <w:trHeight w:val="926" w:hRule="atLeast"/>
        </w:trPr>
        <w:tc>
          <w:tcPr>
            <w:tcW w:w="2491" w:type="dxa"/>
            <w:vMerge/>
            <w:tcBorders>
              <w:top w:val="nil"/>
            </w:tcBorders>
          </w:tcPr>
          <w:p>
            <w:pPr>
              <w:rPr>
                <w:sz w:val="2"/>
                <w:szCs w:val="2"/>
              </w:rPr>
            </w:pPr>
          </w:p>
        </w:tc>
        <w:tc>
          <w:tcPr>
            <w:tcW w:w="3482" w:type="dxa"/>
          </w:tcPr>
          <w:p>
            <w:pPr>
              <w:pStyle w:val="TableParagraph"/>
              <w:spacing w:before="7"/>
              <w:rPr>
                <w:rFonts w:ascii="Arial"/>
                <w:b/>
                <w:sz w:val="29"/>
              </w:rPr>
            </w:pPr>
          </w:p>
          <w:p>
            <w:pPr>
              <w:pStyle w:val="TableParagraph"/>
              <w:ind w:left="172" w:right="166"/>
              <w:jc w:val="center"/>
              <w:rPr>
                <w:sz w:val="20"/>
              </w:rPr>
            </w:pPr>
            <w:r>
              <w:rPr>
                <w:rFonts w:ascii="Arial" w:hAnsi="Arial" w:cs="Arial" w:eastAsia="Arial"/>
                <w:sz w:val="20"/>
              </w:rPr>
              <w:t>4, 6, and 8 hours</w:t>
            </w:r>
          </w:p>
        </w:tc>
        <w:tc>
          <w:tcPr>
            <w:tcW w:w="2959" w:type="dxa"/>
          </w:tcPr>
          <w:p>
            <w:pPr>
              <w:pStyle w:val="TableParagraph"/>
              <w:spacing w:before="7"/>
              <w:rPr>
                <w:rFonts w:ascii="Arial"/>
                <w:b/>
                <w:sz w:val="29"/>
              </w:rPr>
            </w:pPr>
          </w:p>
          <w:p>
            <w:pPr>
              <w:pStyle w:val="TableParagraph"/>
              <w:ind w:left="350" w:right="344"/>
              <w:jc w:val="center"/>
              <w:rPr>
                <w:sz w:val="20"/>
              </w:rPr>
            </w:pPr>
            <w:r>
              <w:rPr>
                <w:rFonts w:ascii="Arial" w:hAnsi="Arial" w:cs="Arial" w:eastAsia="Arial"/>
                <w:sz w:val="20"/>
              </w:rPr>
              <w:t>±15 minutes</w:t>
            </w:r>
          </w:p>
        </w:tc>
      </w:tr>
    </w:tbl>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1439" w:val="left" w:leader="none"/>
        </w:tabs>
        <w:spacing w:before="57"/>
        <w:ind w:left="240" w:right="0" w:firstLine="0"/>
        <w:jc w:val="left"/>
        <w:rPr>
          <w:rFonts w:ascii="Arial"/>
          <w:sz w:val="22"/>
        </w:rPr>
      </w:pPr>
      <w:bookmarkStart w:name="9.5.2.2 Description of Procedures/Assess" w:id="214"/>
      <w:bookmarkEnd w:id="214"/>
      <w:r>
        <w:rPr>
          <w:rFonts w:ascii="Arial" w:hAnsi="Arial" w:cs="Arial" w:eastAsia="Arial"/>
        </w:rPr>
      </w:r>
      <w:bookmarkStart w:name="_bookmark80" w:id="215"/>
      <w:bookmarkEnd w:id="215"/>
      <w:r>
        <w:rPr>
          <w:rFonts w:ascii="Arial" w:hAnsi="Arial" w:cs="Arial" w:eastAsia="Arial"/>
        </w:rPr>
      </w:r>
      <w:r>
        <w:rPr>
          <w:rFonts w:ascii="Arial" w:hAnsi="Arial" w:cs="Arial" w:eastAsia="Arial"/>
          <w:sz w:val="22"/>
        </w:rPr>
        <w:t>9.5.2.2</w:t>
        <w:tab/>
        <w:t>Description of Procedures/Assessments</w:t>
      </w:r>
      <w:r>
        <w:rPr>
          <w:rFonts w:ascii="Arial" w:hAnsi="Arial" w:cs="Arial" w:eastAsia="Arial"/>
          <w:spacing w:val="-5"/>
          <w:sz w:val="22"/>
        </w:rPr>
        <w:t xml:space="preserve">  </w:t>
      </w:r>
      <w:r>
        <w:rPr>
          <w:rFonts w:ascii="Arial" w:hAnsi="Arial" w:cs="Arial" w:eastAsia="Arial"/>
          <w:sz w:val="22"/>
        </w:rPr>
        <w:t xml:space="preserve">  Schedule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pPr>
      <w:r>
        <w:rPr>
          <w:rFonts w:ascii="Arial" w:hAnsi="Arial" w:cs="Arial" w:eastAsia="Arial"/>
        </w:rPr>
        <w:t>The scheduling of study procedures and assessments is shown in </w:t>
      </w:r>
      <w:hyperlink w:history="true" w:anchor="_bookmark78">
        <w:r>
          <w:rPr>
            <w:rFonts w:ascii="Arial" w:hAnsi="Arial" w:cs="Arial" w:eastAsia="Arial"/>
            <w:color w:val="0000FF"/>
          </w:rPr>
          <w:t xml:space="preserve">  Table 5</w:t>
        </w:r>
      </w:hyperlink>
      <w:r>
        <w:rPr>
          <w:rFonts w:ascii="Arial" w:hAnsi="Arial" w:cs="Arial" w:eastAsia="Arial"/>
        </w:rPr>
        <w: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24"/>
        </w:numPr>
        <w:tabs>
          <w:tab w:pos="1199" w:val="left" w:leader="none"/>
          <w:tab w:pos="1200" w:val="left" w:leader="none"/>
        </w:tabs>
        <w:spacing w:line="240" w:lineRule="auto" w:before="0" w:after="0"/>
        <w:ind w:left="1200" w:right="0" w:hanging="960"/>
        <w:jc w:val="left"/>
        <w:rPr>
          <w:rFonts w:ascii="Arial"/>
          <w:sz w:val="24"/>
        </w:rPr>
      </w:pPr>
      <w:bookmarkStart w:name="9.5.3 Appropriateness of Measurements" w:id="216"/>
      <w:bookmarkEnd w:id="216"/>
      <w:r>
        <w:rPr>
          <w:rFonts w:ascii="Arial" w:hAnsi="Arial" w:cs="Arial" w:eastAsia="Arial"/>
        </w:rPr>
      </w:r>
      <w:bookmarkStart w:name="_bookmark81" w:id="217"/>
      <w:bookmarkEnd w:id="217"/>
      <w:r>
        <w:rPr>
          <w:rFonts w:ascii="Arial" w:hAnsi="Arial" w:cs="Arial" w:eastAsia="Arial"/>
        </w:rPr>
      </w:r>
      <w:bookmarkStart w:name="_bookmark81" w:id="218"/>
      <w:bookmarkEnd w:id="218"/>
      <w:r>
        <w:rPr>
          <w:rFonts w:ascii="Arial" w:hAnsi="Arial" w:cs="Arial" w:eastAsia="Arial"/>
          <w:sz w:val="24"/>
        </w:rPr>
        <w:t>Appropriateness</w:t>
      </w:r>
      <w:r>
        <w:rPr>
          <w:rFonts w:ascii="Arial" w:hAnsi="Arial" w:cs="Arial" w:eastAsia="Arial"/>
          <w:sz w:val="24"/>
        </w:rPr>
        <w:t xml:space="preserve">  of</w:t>
      </w:r>
      <w:r>
        <w:rPr>
          <w:rFonts w:ascii="Arial" w:hAnsi="Arial" w:cs="Arial" w:eastAsia="Arial"/>
          <w:spacing w:val="-1"/>
          <w:sz w:val="24"/>
        </w:rPr>
        <w:t xml:space="preserve">  </w:t>
      </w:r>
      <w:r>
        <w:rPr>
          <w:rFonts w:ascii="Arial" w:hAnsi="Arial" w:cs="Arial" w:eastAsia="Arial"/>
          <w:sz w:val="24"/>
        </w:rPr>
        <w:t xml:space="preserve">  Measurements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02"/>
      </w:pPr>
      <w:r>
        <w:rPr>
          <w:rFonts w:ascii="Arial" w:hAnsi="Arial" w:cs="Arial" w:eastAsia="Arial"/>
        </w:rPr>
        <w:t>Most of the clinical assessments are standard measurements commonly used in Phase 2 studies of epilepsy. The safety assessments to be performed in this study, including monitoring and recording all AEs; laboratory evaluation for hematology, blood chemistry, and urine values; measurement of vital signs and ECGs; and the performance of neurological and physical examinations, are standard evaluations to ensure subject safety.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7"/>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In addition to the standard safety measurements, Bond and Lader VAS will be conducted in this study. The Bond and Lader VAS (</w:t>
      </w:r>
      <w:r>
        <w:rPr>
          <w:rFonts w:ascii="Arial" w:hAnsi="Arial" w:cs="Arial" w:eastAsia="Arial"/>
          <w:color w:val="0000FF"/>
        </w:rPr>
        <w:t>Bond, 1974</w:t>
      </w:r>
      <w:r>
        <w:rPr>
          <w:rFonts w:ascii="Arial" w:hAnsi="Arial" w:cs="Arial" w:eastAsia="Arial"/>
        </w:rPr>
        <w:t>) is a sensitive tool to assess CNS side effects (somnolence, body sway, dizziness and sedation etc.). Since CNS related side effects were observed in nonclinical studies of E2730, Bond and Lader VAS is included for assessment of CNS-related sedation effects in this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423"/>
      </w:pPr>
      <w:r>
        <w:rPr>
          <w:rFonts w:ascii="Arial" w:hAnsi="Arial" w:cs="Arial" w:eastAsia="Arial"/>
        </w:rPr>
        <w:t>The EEG-IPS procedure during this study will be performed based upon the protocol of Kastelejin et al </w:t>
      </w:r>
      <w:r>
        <w:rPr>
          <w:rFonts w:ascii="Arial" w:hAnsi="Arial" w:cs="Arial" w:eastAsia="Arial"/>
          <w:color w:val="0000FF"/>
        </w:rPr>
        <w:t xml:space="preserve">  (Kastelejin-Nolst Trenité, et al, 1996</w:t>
      </w:r>
      <w:r>
        <w:rPr>
          <w:rFonts w:ascii="Arial" w:hAnsi="Arial" w:cs="Arial" w:eastAsia="Arial"/>
        </w:rPr>
        <w:t>). The combination of lower and upper frequencies gives a total of 3 photosensitivity ranges, 1 per eye condition (eye closure, eyes closed, and eyes open). In order to minimize the risk of inducing a seizure, photic stimulation will not be carried out between the upper and lower thresholds. However, qualified medical personnel for the management of acute seizures will be present during the day of EEG-IPS procedure throughout the duration of the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24"/>
        </w:numPr>
        <w:tabs>
          <w:tab w:pos="1199" w:val="left" w:leader="none"/>
          <w:tab w:pos="1200" w:val="left" w:leader="none"/>
        </w:tabs>
        <w:spacing w:line="240" w:lineRule="auto" w:before="0" w:after="0"/>
        <w:ind w:left="1200" w:right="502" w:hanging="960"/>
        <w:jc w:val="left"/>
        <w:rPr>
          <w:rFonts w:ascii="Arial"/>
          <w:sz w:val="24"/>
        </w:rPr>
      </w:pPr>
      <w:bookmarkStart w:name="9.5.4 Reporting of Serious Adverse Event" w:id="219"/>
      <w:bookmarkEnd w:id="219"/>
      <w:r>
        <w:rPr>
          <w:rFonts w:ascii="Arial" w:hAnsi="Arial" w:cs="Arial" w:eastAsia="Arial"/>
        </w:rPr>
      </w:r>
      <w:bookmarkStart w:name="_bookmark82" w:id="220"/>
      <w:bookmarkEnd w:id="220"/>
      <w:r>
        <w:rPr>
          <w:rFonts w:ascii="Arial" w:hAnsi="Arial" w:cs="Arial" w:eastAsia="Arial"/>
        </w:rPr>
      </w:r>
      <w:bookmarkStart w:name="_bookmark82" w:id="221"/>
      <w:bookmarkEnd w:id="221"/>
      <w:r>
        <w:rPr>
          <w:rFonts w:ascii="Arial" w:hAnsi="Arial" w:cs="Arial" w:eastAsia="Arial"/>
          <w:sz w:val="24"/>
        </w:rPr>
        <w:t>Reportin</w:t>
      </w:r>
      <w:r>
        <w:rPr>
          <w:rFonts w:ascii="Arial" w:hAnsi="Arial" w:cs="Arial" w:eastAsia="Arial"/>
          <w:sz w:val="24"/>
        </w:rPr>
        <w:t>g of Serious Adverse Events, Pregnancy, and Events Associated With Special</w:t>
      </w:r>
      <w:r>
        <w:rPr>
          <w:rFonts w:ascii="Arial" w:hAnsi="Arial" w:cs="Arial" w:eastAsia="Arial"/>
          <w:spacing w:val="-1"/>
          <w:sz w:val="24"/>
        </w:rPr>
        <w:t xml:space="preserve">  </w:t>
      </w:r>
      <w:r>
        <w:rPr>
          <w:rFonts w:ascii="Arial" w:hAnsi="Arial" w:cs="Arial" w:eastAsia="Arial"/>
          <w:sz w:val="24"/>
        </w:rPr>
        <w:t xml:space="preserve">  Situations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rPr>
          <w:rFonts w:ascii="Arial"/>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24"/>
        </w:numPr>
        <w:tabs>
          <w:tab w:pos="1439" w:val="left" w:leader="none"/>
          <w:tab w:pos="1440" w:val="left" w:leader="none"/>
        </w:tabs>
        <w:spacing w:line="240" w:lineRule="auto" w:before="0" w:after="0"/>
        <w:ind w:left="1440" w:right="0" w:hanging="1200"/>
        <w:jc w:val="left"/>
        <w:rPr>
          <w:rFonts w:ascii="Arial"/>
          <w:sz w:val="22"/>
        </w:rPr>
      </w:pPr>
      <w:bookmarkStart w:name="9.5.4.1 Reporting of Serious Adverse Eve" w:id="222"/>
      <w:bookmarkEnd w:id="222"/>
      <w:r>
        <w:rPr>
          <w:rFonts w:ascii="Arial" w:hAnsi="Arial" w:cs="Arial" w:eastAsia="Arial"/>
        </w:rPr>
      </w:r>
      <w:bookmarkStart w:name="_bookmark83" w:id="223"/>
      <w:bookmarkEnd w:id="223"/>
      <w:r>
        <w:rPr>
          <w:rFonts w:ascii="Arial" w:hAnsi="Arial" w:cs="Arial" w:eastAsia="Arial"/>
        </w:rPr>
      </w:r>
      <w:bookmarkStart w:name="_bookmark83" w:id="224"/>
      <w:bookmarkEnd w:id="224"/>
      <w:r>
        <w:rPr>
          <w:rFonts w:ascii="Arial" w:hAnsi="Arial" w:cs="Arial" w:eastAsia="Arial"/>
          <w:sz w:val="22"/>
        </w:rPr>
        <w:t>Reportin</w:t>
      </w:r>
      <w:r>
        <w:rPr>
          <w:rFonts w:ascii="Arial" w:hAnsi="Arial" w:cs="Arial" w:eastAsia="Arial"/>
          <w:sz w:val="22"/>
        </w:rPr>
        <w:t>g of Serious Adverse</w:t>
      </w:r>
      <w:r>
        <w:rPr>
          <w:rFonts w:ascii="Arial" w:hAnsi="Arial" w:cs="Arial" w:eastAsia="Arial"/>
          <w:spacing w:val="-5"/>
          <w:sz w:val="22"/>
        </w:rPr>
        <w:t xml:space="preserve">  </w:t>
      </w:r>
      <w:r>
        <w:rPr>
          <w:rFonts w:ascii="Arial" w:hAnsi="Arial" w:cs="Arial" w:eastAsia="Arial"/>
          <w:sz w:val="22"/>
        </w:rPr>
        <w:t xml:space="preserve">  Events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1"/>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ind w:left="240" w:right="272"/>
      </w:pPr>
      <w:r>
        <w:rPr>
          <w:rFonts w:ascii="Arial" w:hAnsi="Arial" w:cs="Arial" w:eastAsia="Arial"/>
        </w:rPr>
        <w:t>All SERIOUS ADVERSE EVENTS, regardless of their relationship to study treatment, must be reported on a completed SAE form by email or fax as soon as possible but no later than 1 business day from the date the investigator becomes aware of the event.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after="0"/>
        <w:sectPr>
          <w:headerReference w:type="default" r:id="rId10"/>
          <w:footerReference w:type="default" r:id="rId11"/>
          <w:pgSz w:w="12240" w:h="15840"/>
          <w:pgMar w:header="953" w:footer="1160" w:top="1340" w:bottom="1360" w:left="1560" w:right="1180"/>
          <w:pgNumType w:start="48"/>
        </w:sect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272"/>
      </w:pPr>
      <w:r>
        <w:rPr>
          <w:rFonts w:ascii="Arial" w:hAnsi="Arial" w:cs="Arial" w:eastAsia="Arial"/>
        </w:rPr>
        <w:t>SAEs, regardless of causality assessment, must be collected through the last visit in the Randomization Phase and for 5× the half-life of E2730 (mean terminal elimination phase half-life following a single administration of 20 mg E2730 was 71.2 hours in Study 001). All SAEs must be followed to resolution or, if resolution is unlikely, to stabilization. Any SAE judged by the investigator to be related to the study treatment or any protocol-required procedure should be reported to the sponsor regardless of the length of time that has passed since study completion.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95"/>
      </w:pPr>
      <w:r>
        <w:rPr>
          <w:rFonts w:ascii="Arial" w:hAnsi="Arial" w:cs="Arial" w:eastAsia="Arial"/>
        </w:rPr>
        <w:t>The detailed contact information for reporting of SAEs is provided in the Investigator Study File.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sz w:val="21"/>
        </w:rPr>
      </w:pPr>
    </w:p>
    <w:tbl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216"/>
      </w:tblGrid>
      <w:tr>
        <w:trPr>
          <w:trHeight w:val="851" w:hRule="atLeast"/>
        </w:trPr>
        <w:tc>
          <w:tcPr>
            <w:tcW w:w="9216" w:type="dxa"/>
          </w:tcPr>
          <w:p>
            <w:pPr>
              <w:pStyle w:val="TableParagraph"/>
              <w:spacing w:before="51"/>
              <w:ind w:left="107" w:right="281"/>
              <w:rPr>
                <w:sz w:val="24"/>
              </w:rPr>
            </w:pPr>
            <w:r>
              <w:rPr>
                <w:rFonts w:ascii="Arial" w:hAnsi="Arial" w:cs="Arial" w:eastAsia="Arial"/>
                <w:b/>
                <w:sz w:val="24"/>
              </w:rPr>
              <w:t>For urgent safety issues</w:t>
            </w:r>
            <w:r>
              <w:rPr>
                <w:rFonts w:ascii="Arial" w:hAnsi="Arial" w:cs="Arial" w:eastAsia="Arial"/>
                <w:sz w:val="24"/>
              </w:rPr>
              <w:t>, please ensure all appropriate medical care is administered to the subject and contact the appropriate study team member listed in the Investigator Study File.</w:t>
            </w:r>
          </w:p>
        </w:tc>
      </w:tr>
    </w:tbl>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52"/>
        <w:ind w:left="240" w:right="648"/>
      </w:pPr>
      <w:r>
        <w:rPr>
          <w:rFonts w:ascii="Arial" w:hAnsi="Arial" w:cs="Arial" w:eastAsia="Arial"/>
        </w:rPr>
        <w:t>It is very important that the SAE report form be filled out as completely as possible at the time of the initial report. This includes the investigator’s assessment of causality.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421"/>
      </w:pPr>
      <w:r>
        <w:rPr>
          <w:rFonts w:ascii="Arial" w:hAnsi="Arial" w:cs="Arial" w:eastAsia="Arial"/>
        </w:rPr>
        <w:t>Any follow-up information received on SAEs should be forwarded within 1 business day of its receipt. If the follow-up information changes the investigator’s assessment of causality, this should also be noted on the follow-up SAE form.</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88"/>
      </w:pPr>
      <w:r>
        <w:rPr>
          <w:rFonts w:ascii="Arial" w:hAnsi="Arial" w:cs="Arial" w:eastAsia="Arial"/>
        </w:rPr>
        <w:t>Preliminary SAE reports should be followed as soon as possible by detailed descriptions including copies of hospital case reports, autopsy reports, and other documents requested by the sponsor.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435"/>
      </w:pPr>
      <w:r>
        <w:rPr>
          <w:rFonts w:ascii="Arial" w:hAnsi="Arial" w:cs="Arial" w:eastAsia="Arial"/>
        </w:rPr>
        <w:t>The investigator must notify his IRB of the occurrence of the SAE in writing, if required by his institution. A copy of this communication must be forwarded to the CRO to be filed in the sponsor’s Trial Master File.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24"/>
        </w:numPr>
        <w:tabs>
          <w:tab w:pos="1439" w:val="left" w:leader="none"/>
          <w:tab w:pos="1440" w:val="left" w:leader="none"/>
        </w:tabs>
        <w:spacing w:line="240" w:lineRule="auto" w:before="0" w:after="0"/>
        <w:ind w:left="1440" w:right="0" w:hanging="1200"/>
        <w:jc w:val="left"/>
        <w:rPr>
          <w:rFonts w:ascii="Arial"/>
          <w:sz w:val="22"/>
        </w:rPr>
      </w:pPr>
      <w:bookmarkStart w:name="9.5.4.2 Reporting of Pregnancy and Expos" w:id="225"/>
      <w:bookmarkEnd w:id="225"/>
      <w:r>
        <w:rPr>
          <w:rFonts w:ascii="Arial" w:hAnsi="Arial" w:cs="Arial" w:eastAsia="Arial"/>
        </w:rPr>
      </w:r>
      <w:bookmarkStart w:name="_bookmark84" w:id="226"/>
      <w:bookmarkEnd w:id="226"/>
      <w:r>
        <w:rPr>
          <w:rFonts w:ascii="Arial" w:hAnsi="Arial" w:cs="Arial" w:eastAsia="Arial"/>
        </w:rPr>
      </w:r>
      <w:bookmarkStart w:name="_bookmark84" w:id="227"/>
      <w:bookmarkEnd w:id="227"/>
      <w:r>
        <w:rPr>
          <w:rFonts w:ascii="Arial" w:hAnsi="Arial" w:cs="Arial" w:eastAsia="Arial"/>
          <w:sz w:val="22"/>
        </w:rPr>
        <w:t>Reportin</w:t>
      </w:r>
      <w:r>
        <w:rPr>
          <w:rFonts w:ascii="Arial" w:hAnsi="Arial" w:cs="Arial" w:eastAsia="Arial"/>
          <w:sz w:val="22"/>
        </w:rPr>
        <w:t>g of Pregnancy and Exposure to Study Drug Through</w:t>
      </w:r>
      <w:r>
        <w:rPr>
          <w:rFonts w:ascii="Arial" w:hAnsi="Arial" w:cs="Arial" w:eastAsia="Arial"/>
          <w:spacing w:val="-22"/>
          <w:sz w:val="22"/>
        </w:rPr>
        <w:t xml:space="preserve">  </w:t>
      </w:r>
      <w:r>
        <w:rPr>
          <w:rFonts w:ascii="Arial" w:hAnsi="Arial" w:cs="Arial" w:eastAsia="Arial"/>
          <w:sz w:val="22"/>
        </w:rPr>
        <w:t xml:space="preserve">  Breastfeeding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488"/>
      </w:pPr>
      <w:r>
        <w:rPr>
          <w:rFonts w:ascii="Arial" w:hAnsi="Arial" w:cs="Arial" w:eastAsia="Arial"/>
        </w:rPr>
        <w:t>Any pregnancy in which the estimated date of conception is either before the last visit or within 28 days of last study treatment, or any exposure to study drug through breastfeeding during study treatment or within 28 days of last study treatment, must be reported.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7"/>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242"/>
      </w:pPr>
      <w:r>
        <w:rPr>
          <w:rFonts w:ascii="Arial" w:hAnsi="Arial" w:cs="Arial" w:eastAsia="Arial"/>
        </w:rPr>
        <w:t>If an adverse outcome of a pregnancy is suspected to be related to study drug exposure, this should be reported regardless of the length of time that has passed since the exposure to study treatment.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483"/>
        <w:jc w:val="both"/>
      </w:pPr>
      <w:r>
        <w:rPr>
          <w:rFonts w:ascii="Arial" w:hAnsi="Arial" w:cs="Arial" w:eastAsia="Arial"/>
        </w:rPr>
        <w:t>A</w:t>
      </w:r>
      <w:r>
        <w:rPr>
          <w:rFonts w:ascii="Arial" w:hAnsi="Arial" w:cs="Arial" w:eastAsia="Arial"/>
          <w:spacing w:val="-5"/>
        </w:rPr>
        <w:t xml:space="preserve">  </w:t>
      </w:r>
      <w:r>
        <w:rPr>
          <w:rFonts w:ascii="Arial" w:hAnsi="Arial" w:cs="Arial" w:eastAsia="Arial"/>
        </w:rPr>
        <w:t xml:space="preserve">  congenital</w:t>
      </w:r>
      <w:r>
        <w:rPr>
          <w:rFonts w:ascii="Arial" w:hAnsi="Arial" w:cs="Arial" w:eastAsia="Arial"/>
          <w:spacing w:val="-5"/>
        </w:rPr>
        <w:t xml:space="preserve">  </w:t>
      </w:r>
      <w:r>
        <w:rPr>
          <w:rFonts w:ascii="Arial" w:hAnsi="Arial" w:cs="Arial" w:eastAsia="Arial"/>
        </w:rPr>
        <w:t xml:space="preserve">  anomaly,</w:t>
      </w:r>
      <w:r>
        <w:rPr>
          <w:rFonts w:ascii="Arial" w:hAnsi="Arial" w:cs="Arial" w:eastAsia="Arial"/>
          <w:spacing w:val="-4"/>
        </w:rPr>
        <w:t xml:space="preserve">  </w:t>
      </w:r>
      <w:r>
        <w:rPr>
          <w:rFonts w:ascii="Arial" w:hAnsi="Arial" w:cs="Arial" w:eastAsia="Arial"/>
        </w:rPr>
        <w:t xml:space="preserve">  death</w:t>
      </w:r>
      <w:r>
        <w:rPr>
          <w:rFonts w:ascii="Arial" w:hAnsi="Arial" w:cs="Arial" w:eastAsia="Arial"/>
          <w:spacing w:val="-5"/>
        </w:rPr>
        <w:t xml:space="preserve">  </w:t>
      </w:r>
      <w:r>
        <w:rPr>
          <w:rFonts w:ascii="Arial" w:hAnsi="Arial" w:cs="Arial" w:eastAsia="Arial"/>
        </w:rPr>
        <w:t xml:space="preserve">  during</w:t>
      </w:r>
      <w:r>
        <w:rPr>
          <w:rFonts w:ascii="Arial" w:hAnsi="Arial" w:cs="Arial" w:eastAsia="Arial"/>
          <w:spacing w:val="-5"/>
        </w:rPr>
        <w:t xml:space="preserve">  </w:t>
      </w:r>
      <w:r>
        <w:rPr>
          <w:rFonts w:ascii="Arial" w:hAnsi="Arial" w:cs="Arial" w:eastAsia="Arial"/>
        </w:rPr>
        <w:t xml:space="preserve">  perinatal</w:t>
      </w:r>
      <w:r>
        <w:rPr>
          <w:rFonts w:ascii="Arial" w:hAnsi="Arial" w:cs="Arial" w:eastAsia="Arial"/>
          <w:spacing w:val="-4"/>
        </w:rPr>
        <w:t xml:space="preserve">  </w:t>
      </w:r>
      <w:r>
        <w:rPr>
          <w:rFonts w:ascii="Arial" w:hAnsi="Arial" w:cs="Arial" w:eastAsia="Arial"/>
        </w:rPr>
        <w:t xml:space="preserve">  period,</w:t>
      </w:r>
      <w:r>
        <w:rPr>
          <w:rFonts w:ascii="Arial" w:hAnsi="Arial" w:cs="Arial" w:eastAsia="Arial"/>
          <w:spacing w:val="-5"/>
        </w:rPr>
        <w:t xml:space="preserve">  </w:t>
      </w:r>
      <w:r>
        <w:rPr>
          <w:rFonts w:ascii="Arial" w:hAnsi="Arial" w:cs="Arial" w:eastAsia="Arial"/>
        </w:rPr>
        <w:t xml:space="preserve">  an</w:t>
      </w:r>
      <w:r>
        <w:rPr>
          <w:rFonts w:ascii="Arial" w:hAnsi="Arial" w:cs="Arial" w:eastAsia="Arial"/>
          <w:spacing w:val="-4"/>
        </w:rPr>
        <w:t xml:space="preserve">  </w:t>
      </w:r>
      <w:r>
        <w:rPr>
          <w:rFonts w:ascii="Arial" w:hAnsi="Arial" w:cs="Arial" w:eastAsia="Arial"/>
        </w:rPr>
        <w:t xml:space="preserve">  induced</w:t>
      </w:r>
      <w:r>
        <w:rPr>
          <w:rFonts w:ascii="Arial" w:hAnsi="Arial" w:cs="Arial" w:eastAsia="Arial"/>
          <w:spacing w:val="-5"/>
        </w:rPr>
        <w:t xml:space="preserve">  </w:t>
      </w:r>
      <w:r>
        <w:rPr>
          <w:rFonts w:ascii="Arial" w:hAnsi="Arial" w:cs="Arial" w:eastAsia="Arial"/>
        </w:rPr>
        <w:t xml:space="preserve">  abortion,</w:t>
      </w:r>
      <w:r>
        <w:rPr>
          <w:rFonts w:ascii="Arial" w:hAnsi="Arial" w:cs="Arial" w:eastAsia="Arial"/>
          <w:spacing w:val="-5"/>
        </w:rPr>
        <w:t xml:space="preserve">  </w:t>
      </w:r>
      <w:r>
        <w:rPr>
          <w:rFonts w:ascii="Arial" w:hAnsi="Arial" w:cs="Arial" w:eastAsia="Arial"/>
        </w:rPr>
        <w:t xml:space="preserve">  or</w:t>
      </w:r>
      <w:r>
        <w:rPr>
          <w:rFonts w:ascii="Arial" w:hAnsi="Arial" w:cs="Arial" w:eastAsia="Arial"/>
          <w:spacing w:val="-4"/>
        </w:rPr>
        <w:t xml:space="preserve">  </w:t>
      </w:r>
      <w:r>
        <w:rPr>
          <w:rFonts w:ascii="Arial" w:hAnsi="Arial" w:cs="Arial" w:eastAsia="Arial"/>
        </w:rPr>
        <w:t xml:space="preserve">  a</w:t>
      </w:r>
      <w:r>
        <w:rPr>
          <w:rFonts w:ascii="Arial" w:hAnsi="Arial" w:cs="Arial" w:eastAsia="Arial"/>
          <w:spacing w:val="-5"/>
        </w:rPr>
        <w:t xml:space="preserve">  </w:t>
      </w:r>
      <w:r>
        <w:rPr>
          <w:rFonts w:ascii="Arial" w:hAnsi="Arial" w:cs="Arial" w:eastAsia="Arial"/>
        </w:rPr>
        <w:t xml:space="preserve">  spontaneous abortion are considered to be an SAE and should be reported in the same time frame and in the same format as all other SAEs (see Reporting of Serious Adverse</w:t>
      </w:r>
      <w:r>
        <w:rPr>
          <w:rFonts w:ascii="Arial" w:hAnsi="Arial" w:cs="Arial" w:eastAsia="Arial"/>
          <w:spacing w:val="-10"/>
        </w:rPr>
        <w:t xml:space="preserve">  </w:t>
      </w:r>
      <w:r>
        <w:rPr>
          <w:rFonts w:ascii="Arial" w:hAnsi="Arial" w:cs="Arial" w:eastAsia="Arial"/>
        </w:rPr>
        <w:t xml:space="preserve">  Events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jc w:val="both"/>
      </w:pPr>
      <w:r>
        <w:rPr>
          <w:rFonts w:ascii="Arial" w:hAnsi="Arial" w:cs="Arial" w:eastAsia="Arial"/>
        </w:rPr>
        <w:t>[</w:t>
      </w:r>
      <w:r>
        <w:rPr>
          <w:rFonts w:ascii="Arial" w:hAnsi="Arial" w:cs="Arial" w:eastAsia="Arial"/>
          <w:color w:val="3232FF"/>
        </w:rPr>
        <w:t>Section </w:t>
      </w:r>
      <w:hyperlink w:history="true" w:anchor="_bookmark83">
        <w:r>
          <w:rPr>
            <w:rFonts w:ascii="Arial" w:hAnsi="Arial" w:cs="Arial" w:eastAsia="Arial"/>
            <w:color w:val="0000FF"/>
          </w:rPr>
          <w:t xml:space="preserve">  9.5.4.1</w:t>
        </w:r>
      </w:hyperlink>
      <w:r>
        <w:rPr>
          <w:rFonts w:ascii="Arial" w:hAnsi="Arial" w:cs="Arial" w:eastAsia="Arial"/>
        </w:rPr>
        <w: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423"/>
      </w:pPr>
      <w:r>
        <w:rPr>
          <w:rFonts w:ascii="Arial" w:hAnsi="Arial" w:cs="Arial" w:eastAsia="Arial"/>
        </w:rPr>
        <w:t>Pregnancies or exposure to study drug through breastfeeding must be reported by fax or email as soon as possible but no later than 1 business day from the date the investigator becomes aware of the pregnancy. The contact information for the reporting of pregnancies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272"/>
      </w:pPr>
      <w:r>
        <w:rPr>
          <w:rFonts w:ascii="Arial" w:hAnsi="Arial" w:cs="Arial" w:eastAsia="Arial"/>
        </w:rPr>
        <w:t>and exposure to study drug through breastfeeding is provided in the Investigator Study File. The Pregnancy Report Form must be used for reporting. All pregnancies must be followed</w:t>
      </w:r>
      <w:r>
        <w:rPr>
          <w:rFonts w:ascii="Arial" w:hAnsi="Arial" w:cs="Arial" w:eastAsia="Arial"/>
          <w:spacing w:val="-12"/>
        </w:rPr>
        <w:t xml:space="preserve">  </w:t>
      </w:r>
      <w:r>
        <w:rPr>
          <w:rFonts w:ascii="Arial" w:hAnsi="Arial" w:cs="Arial" w:eastAsia="Arial"/>
        </w:rPr>
        <w:t xml:space="preserve">  to outcome. The outcome of the pregnancy must be reported as soon as possible but no later than 1 business day from the date the investigator becomes aware of the</w:t>
      </w:r>
      <w:r>
        <w:rPr>
          <w:rFonts w:ascii="Arial" w:hAnsi="Arial" w:cs="Arial" w:eastAsia="Arial"/>
          <w:spacing w:val="-6"/>
        </w:rPr>
        <w:t xml:space="preserve">  </w:t>
      </w:r>
      <w:r>
        <w:rPr>
          <w:rFonts w:ascii="Arial" w:hAnsi="Arial" w:cs="Arial" w:eastAsia="Arial"/>
        </w:rPr>
        <w:t xml:space="preserve">  outcome.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pPr>
      <w:r>
        <w:rPr>
          <w:rFonts w:ascii="Arial" w:hAnsi="Arial" w:cs="Arial" w:eastAsia="Arial"/>
        </w:rPr>
        <w:t>A subject who becomes pregnant must be withdrawn from the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24"/>
        </w:numPr>
        <w:tabs>
          <w:tab w:pos="1439" w:val="left" w:leader="none"/>
          <w:tab w:pos="1440" w:val="left" w:leader="none"/>
        </w:tabs>
        <w:spacing w:line="240" w:lineRule="auto" w:before="0" w:after="0"/>
        <w:ind w:left="1440" w:right="0" w:hanging="1200"/>
        <w:jc w:val="left"/>
        <w:rPr>
          <w:rFonts w:ascii="Arial"/>
          <w:sz w:val="22"/>
        </w:rPr>
      </w:pPr>
      <w:bookmarkStart w:name="9.5.4.3 Reporting of Events Associated W" w:id="228"/>
      <w:bookmarkEnd w:id="228"/>
      <w:r>
        <w:rPr>
          <w:rFonts w:ascii="Arial" w:hAnsi="Arial" w:cs="Arial" w:eastAsia="Arial"/>
        </w:rPr>
      </w:r>
      <w:bookmarkStart w:name="_bookmark85" w:id="229"/>
      <w:bookmarkEnd w:id="229"/>
      <w:r>
        <w:rPr>
          <w:rFonts w:ascii="Arial" w:hAnsi="Arial" w:cs="Arial" w:eastAsia="Arial"/>
        </w:rPr>
      </w:r>
      <w:bookmarkStart w:name="_bookmark85" w:id="230"/>
      <w:bookmarkEnd w:id="230"/>
      <w:r>
        <w:rPr>
          <w:rFonts w:ascii="Arial" w:hAnsi="Arial" w:cs="Arial" w:eastAsia="Arial"/>
          <w:sz w:val="22"/>
        </w:rPr>
        <w:t>Reportin</w:t>
      </w:r>
      <w:r>
        <w:rPr>
          <w:rFonts w:ascii="Arial" w:hAnsi="Arial" w:cs="Arial" w:eastAsia="Arial"/>
          <w:sz w:val="22"/>
        </w:rPr>
        <w:t>g of Events Associated With Special</w:t>
      </w:r>
      <w:r>
        <w:rPr>
          <w:rFonts w:ascii="Arial" w:hAnsi="Arial" w:cs="Arial" w:eastAsia="Arial"/>
          <w:spacing w:val="-10"/>
          <w:sz w:val="22"/>
        </w:rPr>
        <w:t xml:space="preserve">  </w:t>
      </w:r>
      <w:r>
        <w:rPr>
          <w:rFonts w:ascii="Arial" w:hAnsi="Arial" w:cs="Arial" w:eastAsia="Arial"/>
          <w:sz w:val="22"/>
        </w:rPr>
        <w:t xml:space="preserve">  Situations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4"/>
        </w:numPr>
        <w:tabs>
          <w:tab w:pos="1435" w:val="left" w:leader="none"/>
          <w:tab w:pos="1436" w:val="left" w:leader="none"/>
        </w:tabs>
        <w:spacing w:line="240" w:lineRule="auto" w:before="0" w:after="0"/>
        <w:ind w:left="1435" w:right="686" w:hanging="1196"/>
        <w:jc w:val="left"/>
        <w:rPr>
          <w:rFonts w:ascii="Arial"/>
          <w:sz w:val="18"/>
        </w:rPr>
      </w:pPr>
      <w:bookmarkStart w:name="_bookmark86" w:id="231"/>
      <w:bookmarkEnd w:id="231"/>
      <w:r>
        <w:rPr>
          <w:rFonts w:ascii="Arial" w:hAnsi="Arial" w:cs="Arial" w:eastAsia="Arial"/>
        </w:rPr>
      </w:r>
      <w:bookmarkStart w:name="_bookmark86" w:id="232"/>
      <w:bookmarkEnd w:id="232"/>
      <w:r>
        <w:rPr>
          <w:rFonts w:ascii="Arial" w:hAnsi="Arial" w:cs="Arial" w:eastAsia="Arial"/>
          <w:sz w:val="22"/>
        </w:rPr>
        <w:t>R</w:t>
      </w:r>
      <w:r>
        <w:rPr>
          <w:rFonts w:ascii="Arial" w:hAnsi="Arial" w:cs="Arial" w:eastAsia="Arial"/>
          <w:sz w:val="18"/>
        </w:rPr>
        <w:t>EPORTING OF </w:t>
      </w:r>
      <w:r>
        <w:rPr>
          <w:rFonts w:ascii="Arial" w:hAnsi="Arial" w:cs="Arial" w:eastAsia="Arial"/>
          <w:sz w:val="22"/>
        </w:rPr>
        <w:t xml:space="preserve">  A</w:t>
      </w:r>
      <w:r>
        <w:rPr>
          <w:rFonts w:ascii="Arial" w:hAnsi="Arial" w:cs="Arial" w:eastAsia="Arial"/>
          <w:sz w:val="18"/>
        </w:rPr>
        <w:t>DVERSE </w:t>
      </w:r>
      <w:r>
        <w:rPr>
          <w:rFonts w:ascii="Arial" w:hAnsi="Arial" w:cs="Arial" w:eastAsia="Arial"/>
          <w:sz w:val="22"/>
        </w:rPr>
        <w:t xml:space="preserve">  E</w:t>
      </w:r>
      <w:r>
        <w:rPr>
          <w:rFonts w:ascii="Arial" w:hAnsi="Arial" w:cs="Arial" w:eastAsia="Arial"/>
          <w:sz w:val="18"/>
        </w:rPr>
        <w:t>VENTS </w:t>
      </w:r>
      <w:r>
        <w:rPr>
          <w:rFonts w:ascii="Arial" w:hAnsi="Arial" w:cs="Arial" w:eastAsia="Arial"/>
          <w:sz w:val="22"/>
        </w:rPr>
        <w:t xml:space="preserve">  A</w:t>
      </w:r>
      <w:r>
        <w:rPr>
          <w:rFonts w:ascii="Arial" w:hAnsi="Arial" w:cs="Arial" w:eastAsia="Arial"/>
          <w:sz w:val="18"/>
        </w:rPr>
        <w:t>SSOCIATED </w:t>
      </w:r>
      <w:r>
        <w:rPr>
          <w:rFonts w:ascii="Arial" w:hAnsi="Arial" w:cs="Arial" w:eastAsia="Arial"/>
          <w:sz w:val="22"/>
        </w:rPr>
        <w:t xml:space="preserve">  W</w:t>
      </w:r>
      <w:r>
        <w:rPr>
          <w:rFonts w:ascii="Arial" w:hAnsi="Arial" w:cs="Arial" w:eastAsia="Arial"/>
          <w:sz w:val="18"/>
        </w:rPr>
        <w:t>ITH </w:t>
      </w:r>
      <w:r>
        <w:rPr>
          <w:rFonts w:ascii="Arial" w:hAnsi="Arial" w:cs="Arial" w:eastAsia="Arial"/>
          <w:sz w:val="22"/>
        </w:rPr>
        <w:t xml:space="preserve">  S</w:t>
      </w:r>
      <w:r>
        <w:rPr>
          <w:rFonts w:ascii="Arial" w:hAnsi="Arial" w:cs="Arial" w:eastAsia="Arial"/>
          <w:sz w:val="18"/>
        </w:rPr>
        <w:t>TUDY </w:t>
      </w:r>
      <w:r>
        <w:rPr>
          <w:rFonts w:ascii="Arial" w:hAnsi="Arial" w:cs="Arial" w:eastAsia="Arial"/>
          <w:sz w:val="22"/>
        </w:rPr>
        <w:t xml:space="preserve">  D</w:t>
      </w:r>
      <w:r>
        <w:rPr>
          <w:rFonts w:ascii="Arial" w:hAnsi="Arial" w:cs="Arial" w:eastAsia="Arial"/>
          <w:sz w:val="18"/>
        </w:rPr>
        <w:t>RUG </w:t>
      </w:r>
      <w:r>
        <w:rPr>
          <w:rFonts w:ascii="Arial" w:hAnsi="Arial" w:cs="Arial" w:eastAsia="Arial"/>
          <w:sz w:val="22"/>
        </w:rPr>
        <w:t xml:space="preserve">  O</w:t>
      </w:r>
      <w:r>
        <w:rPr>
          <w:rFonts w:ascii="Arial" w:hAnsi="Arial" w:cs="Arial" w:eastAsia="Arial"/>
          <w:sz w:val="18"/>
        </w:rPr>
        <w:t>VERDOSE</w:t>
      </w:r>
      <w:r>
        <w:rPr>
          <w:rFonts w:ascii="Arial" w:hAnsi="Arial" w:cs="Arial" w:eastAsia="Arial"/>
          <w:sz w:val="22"/>
        </w:rPr>
        <w:t>, M</w:t>
      </w:r>
      <w:r>
        <w:rPr>
          <w:rFonts w:ascii="Arial" w:hAnsi="Arial" w:cs="Arial" w:eastAsia="Arial"/>
          <w:sz w:val="18"/>
        </w:rPr>
        <w:t>ISUSE</w:t>
      </w:r>
      <w:r>
        <w:rPr>
          <w:rFonts w:ascii="Arial" w:hAnsi="Arial" w:cs="Arial" w:eastAsia="Arial"/>
          <w:sz w:val="22"/>
        </w:rPr>
        <w:t>, A</w:t>
      </w:r>
      <w:r>
        <w:rPr>
          <w:rFonts w:ascii="Arial" w:hAnsi="Arial" w:cs="Arial" w:eastAsia="Arial"/>
          <w:sz w:val="18"/>
        </w:rPr>
        <w:t>BUSE</w:t>
      </w:r>
      <w:r>
        <w:rPr>
          <w:rFonts w:ascii="Arial" w:hAnsi="Arial" w:cs="Arial" w:eastAsia="Arial"/>
          <w:sz w:val="22"/>
        </w:rPr>
        <w:t>, </w:t>
      </w:r>
      <w:r>
        <w:rPr>
          <w:rFonts w:ascii="Arial" w:hAnsi="Arial" w:cs="Arial" w:eastAsia="Arial"/>
          <w:sz w:val="18"/>
        </w:rPr>
        <w:t xml:space="preserve">  OR </w:t>
      </w:r>
      <w:r>
        <w:rPr>
          <w:rFonts w:ascii="Arial" w:hAnsi="Arial" w:cs="Arial" w:eastAsia="Arial"/>
          <w:sz w:val="22"/>
        </w:rPr>
        <w:t xml:space="preserve">  M</w:t>
      </w:r>
      <w:r>
        <w:rPr>
          <w:rFonts w:ascii="Arial" w:hAnsi="Arial" w:cs="Arial" w:eastAsia="Arial"/>
          <w:sz w:val="18"/>
        </w:rPr>
        <w:t>EDICATION</w:t>
      </w:r>
      <w:r>
        <w:rPr>
          <w:rFonts w:ascii="Arial" w:hAnsi="Arial" w:cs="Arial" w:eastAsia="Arial"/>
          <w:spacing w:val="-20"/>
          <w:sz w:val="18"/>
        </w:rPr>
        <w:t xml:space="preserve">  </w:t>
      </w:r>
      <w:r>
        <w:rPr>
          <w:rFonts w:ascii="Arial" w:hAnsi="Arial" w:cs="Arial" w:eastAsia="Arial"/>
          <w:sz w:val="22"/>
        </w:rPr>
        <w:t xml:space="preserve">  E</w:t>
      </w:r>
      <w:r>
        <w:rPr>
          <w:rFonts w:ascii="Arial" w:hAnsi="Arial" w:cs="Arial" w:eastAsia="Arial"/>
          <w:sz w:val="18"/>
        </w:rPr>
        <w:t>RROR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02"/>
      </w:pPr>
      <w:r>
        <w:rPr>
          <w:rFonts w:ascii="Arial" w:hAnsi="Arial" w:cs="Arial" w:eastAsia="Arial"/>
        </w:rPr>
        <w:t>AEs associated with study drug overdose, misuse, abuse, and medication error refer to AEs associated with uses of the study drug outside of that specified by the protocol. Overdose, misuse, abuse, and medication error are defined as follows: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tabs>
          <w:tab w:pos="2399" w:val="left" w:leader="none"/>
        </w:tabs>
        <w:ind w:left="2400" w:right="655" w:hanging="2160"/>
      </w:pPr>
      <w:r>
        <w:rPr>
          <w:rFonts w:ascii="Arial" w:hAnsi="Arial" w:cs="Arial" w:eastAsia="Arial"/>
        </w:rPr>
        <w:t>Overdose</w:t>
        <w:tab/>
        <w:t>Accidental or intentional use of the study drug in an amount</w:t>
      </w:r>
      <w:r>
        <w:rPr>
          <w:rFonts w:ascii="Arial" w:hAnsi="Arial" w:cs="Arial" w:eastAsia="Arial"/>
          <w:spacing w:val="-36"/>
        </w:rPr>
        <w:t xml:space="preserve">  </w:t>
      </w:r>
      <w:r>
        <w:rPr>
          <w:rFonts w:ascii="Arial" w:hAnsi="Arial" w:cs="Arial" w:eastAsia="Arial"/>
        </w:rPr>
        <w:t xml:space="preserve">  higher than the protocol-defined</w:t>
      </w:r>
      <w:r>
        <w:rPr>
          <w:rFonts w:ascii="Arial" w:hAnsi="Arial" w:cs="Arial" w:eastAsia="Arial"/>
          <w:spacing w:val="-3"/>
        </w:rPr>
        <w:t xml:space="preserve">  </w:t>
      </w:r>
      <w:r>
        <w:rPr>
          <w:rFonts w:ascii="Arial" w:hAnsi="Arial" w:cs="Arial" w:eastAsia="Arial"/>
        </w:rPr>
        <w:t xml:space="preserve">  dose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tabs>
          <w:tab w:pos="2399" w:val="left" w:leader="none"/>
        </w:tabs>
        <w:ind w:left="2400" w:right="353" w:hanging="2160"/>
      </w:pPr>
      <w:r>
        <w:rPr>
          <w:rFonts w:ascii="Arial" w:hAnsi="Arial" w:cs="Arial" w:eastAsia="Arial"/>
        </w:rPr>
        <w:t>Misuse</w:t>
        <w:tab/>
        <w:t>Intentional and inappropriate use of study drug not in accordance with the</w:t>
      </w:r>
      <w:r>
        <w:rPr>
          <w:rFonts w:ascii="Arial" w:hAnsi="Arial" w:cs="Arial" w:eastAsia="Arial"/>
          <w:spacing w:val="-2"/>
        </w:rPr>
        <w:t xml:space="preserve">  </w:t>
      </w:r>
      <w:r>
        <w:rPr>
          <w:rFonts w:ascii="Arial" w:hAnsi="Arial" w:cs="Arial" w:eastAsia="Arial"/>
        </w:rPr>
        <w:t xml:space="preserve">  protocol</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tabs>
          <w:tab w:pos="2399" w:val="left" w:leader="none"/>
        </w:tabs>
        <w:ind w:left="2400" w:right="1220" w:hanging="2160"/>
      </w:pPr>
      <w:r>
        <w:rPr>
          <w:rFonts w:ascii="Arial" w:hAnsi="Arial" w:cs="Arial" w:eastAsia="Arial"/>
        </w:rPr>
        <w:t>Abuse</w:t>
        <w:tab/>
        <w:t>Sporadic or persistent intentional excessive use of study drug accompanied by harmful physical or psychological</w:t>
      </w:r>
      <w:r>
        <w:rPr>
          <w:rFonts w:ascii="Arial" w:hAnsi="Arial" w:cs="Arial" w:eastAsia="Arial"/>
          <w:spacing w:val="-24"/>
        </w:rPr>
        <w:t xml:space="preserve">  </w:t>
      </w:r>
      <w:r>
        <w:rPr>
          <w:rFonts w:ascii="Arial" w:hAnsi="Arial" w:cs="Arial" w:eastAsia="Arial"/>
        </w:rPr>
        <w:t xml:space="preserve">  effects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tabs>
          <w:tab w:pos="2399" w:val="left" w:leader="none"/>
        </w:tabs>
        <w:ind w:left="2400" w:right="484" w:hanging="2160"/>
      </w:pPr>
      <w:r>
        <w:rPr>
          <w:rFonts w:ascii="Arial" w:hAnsi="Arial" w:cs="Arial" w:eastAsia="Arial"/>
        </w:rPr>
        <w:t>Medication</w:t>
      </w:r>
      <w:r>
        <w:rPr>
          <w:rFonts w:ascii="Arial" w:hAnsi="Arial" w:cs="Arial" w:eastAsia="Arial"/>
          <w:spacing w:val="-5"/>
        </w:rPr>
        <w:t xml:space="preserve">  </w:t>
      </w:r>
      <w:r>
        <w:rPr>
          <w:rFonts w:ascii="Arial" w:hAnsi="Arial" w:cs="Arial" w:eastAsia="Arial"/>
        </w:rPr>
        <w:t xml:space="preserve">  error</w:t>
        <w:tab/>
        <w:t>Any unintentional event that causes or leads to inappropriate study drug use or subject harm while the study drug is in the control of site personnel or the</w:t>
      </w:r>
      <w:r>
        <w:rPr>
          <w:rFonts w:ascii="Arial" w:hAnsi="Arial" w:cs="Arial" w:eastAsia="Arial"/>
          <w:spacing w:val="-3"/>
        </w:rPr>
        <w:t xml:space="preserve">  </w:t>
      </w:r>
      <w:r>
        <w:rPr>
          <w:rFonts w:ascii="Arial" w:hAnsi="Arial" w:cs="Arial" w:eastAsia="Arial"/>
        </w:rPr>
        <w:t xml:space="preserve">  subject.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272"/>
      </w:pPr>
      <w:r>
        <w:rPr>
          <w:rFonts w:ascii="Arial" w:hAnsi="Arial" w:cs="Arial" w:eastAsia="Arial"/>
        </w:rPr>
        <w:t>All AEs associated with overdose, misuse, abuse, or medication error should be captured on the AE CRF and also reported using the procedures detailed in Reporting of Serious Adverse Events (</w:t>
      </w:r>
      <w:r>
        <w:rPr>
          <w:rFonts w:ascii="Arial" w:hAnsi="Arial" w:cs="Arial" w:eastAsia="Arial"/>
          <w:color w:val="3232FF"/>
        </w:rPr>
        <w:t>Section </w:t>
      </w:r>
      <w:hyperlink w:history="true" w:anchor="_bookmark83">
        <w:r>
          <w:rPr>
            <w:rFonts w:ascii="Arial" w:hAnsi="Arial" w:cs="Arial" w:eastAsia="Arial"/>
            <w:color w:val="0000FF"/>
          </w:rPr>
          <w:t xml:space="preserve">  9.5.4.1</w:t>
        </w:r>
      </w:hyperlink>
      <w:r>
        <w:rPr>
          <w:rFonts w:ascii="Arial" w:hAnsi="Arial" w:cs="Arial" w:eastAsia="Arial"/>
        </w:rPr>
        <w:t>) even if the AEs do not meet serious criteria. Abuse is always to be captured as an AE. If the AE associated with an overdose, misuse, abuse, or medication error does not meet serious criteria, it must still be reported using the SAE form and in an expedited manner but should be noted as nonserious on the SAE form and the AE CRF.</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24"/>
        </w:numPr>
        <w:tabs>
          <w:tab w:pos="1439" w:val="left" w:leader="none"/>
          <w:tab w:pos="1440" w:val="left" w:leader="none"/>
        </w:tabs>
        <w:spacing w:line="240" w:lineRule="auto" w:before="0" w:after="0"/>
        <w:ind w:left="1440" w:right="0" w:hanging="1200"/>
        <w:jc w:val="left"/>
        <w:rPr>
          <w:rFonts w:ascii="Arial"/>
          <w:sz w:val="22"/>
        </w:rPr>
      </w:pPr>
      <w:bookmarkStart w:name="9.5.4.4 Expedited Reporting" w:id="233"/>
      <w:bookmarkEnd w:id="233"/>
      <w:r>
        <w:rPr>
          <w:rFonts w:ascii="Arial" w:hAnsi="Arial" w:cs="Arial" w:eastAsia="Arial"/>
        </w:rPr>
      </w:r>
      <w:bookmarkStart w:name="_bookmark87" w:id="234"/>
      <w:bookmarkEnd w:id="234"/>
      <w:r>
        <w:rPr>
          <w:rFonts w:ascii="Arial" w:hAnsi="Arial" w:cs="Arial" w:eastAsia="Arial"/>
        </w:rPr>
      </w:r>
      <w:bookmarkStart w:name="_bookmark87" w:id="235"/>
      <w:bookmarkEnd w:id="235"/>
      <w:r>
        <w:rPr>
          <w:rFonts w:ascii="Arial" w:hAnsi="Arial" w:cs="Arial" w:eastAsia="Arial"/>
          <w:sz w:val="22"/>
        </w:rPr>
        <w:t>Expedite</w:t>
      </w:r>
      <w:r>
        <w:rPr>
          <w:rFonts w:ascii="Arial" w:hAnsi="Arial" w:cs="Arial" w:eastAsia="Arial"/>
          <w:sz w:val="22"/>
        </w:rPr>
        <w:t>d</w:t>
      </w:r>
      <w:r>
        <w:rPr>
          <w:rFonts w:ascii="Arial" w:hAnsi="Arial" w:cs="Arial" w:eastAsia="Arial"/>
          <w:spacing w:val="-2"/>
          <w:sz w:val="22"/>
        </w:rPr>
        <w:t xml:space="preserve">  </w:t>
      </w:r>
      <w:r>
        <w:rPr>
          <w:rFonts w:ascii="Arial" w:hAnsi="Arial" w:cs="Arial" w:eastAsia="Arial"/>
          <w:sz w:val="22"/>
        </w:rPr>
        <w:t xml:space="preserve">  Reporting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735"/>
      </w:pPr>
      <w:r>
        <w:rPr>
          <w:rFonts w:ascii="Arial" w:hAnsi="Arial" w:cs="Arial" w:eastAsia="Arial"/>
        </w:rPr>
        <w:t>The sponsor must inform investigators and regulatory authorities of reportable events, in compliance with applicable regulatory requirements, on an expedited basis (ie, within specific time frames). For this reason, it is imperative that sites provide complete SAE information in the manner described above.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24"/>
        </w:numPr>
        <w:tabs>
          <w:tab w:pos="1439" w:val="left" w:leader="none"/>
          <w:tab w:pos="1440" w:val="left" w:leader="none"/>
        </w:tabs>
        <w:spacing w:line="240" w:lineRule="auto" w:before="0" w:after="0"/>
        <w:ind w:left="1440" w:right="0" w:hanging="1200"/>
        <w:jc w:val="left"/>
        <w:rPr>
          <w:rFonts w:ascii="Arial"/>
          <w:sz w:val="22"/>
        </w:rPr>
      </w:pPr>
      <w:bookmarkStart w:name="9.5.4.5 Breaking the Blind" w:id="236"/>
      <w:bookmarkEnd w:id="236"/>
      <w:r>
        <w:rPr>
          <w:rFonts w:ascii="Arial" w:hAnsi="Arial" w:cs="Arial" w:eastAsia="Arial"/>
        </w:rPr>
      </w:r>
      <w:bookmarkStart w:name="_bookmark88" w:id="237"/>
      <w:bookmarkEnd w:id="237"/>
      <w:r>
        <w:rPr>
          <w:rFonts w:ascii="Arial" w:hAnsi="Arial" w:cs="Arial" w:eastAsia="Arial"/>
        </w:rPr>
      </w:r>
      <w:bookmarkStart w:name="_bookmark88" w:id="238"/>
      <w:bookmarkEnd w:id="238"/>
      <w:r>
        <w:rPr>
          <w:rFonts w:ascii="Arial" w:hAnsi="Arial" w:cs="Arial" w:eastAsia="Arial"/>
          <w:sz w:val="22"/>
        </w:rPr>
        <w:t>Breakin</w:t>
      </w:r>
      <w:r>
        <w:rPr>
          <w:rFonts w:ascii="Arial" w:hAnsi="Arial" w:cs="Arial" w:eastAsia="Arial"/>
          <w:sz w:val="22"/>
        </w:rPr>
        <w:t>g the</w:t>
      </w:r>
      <w:r>
        <w:rPr>
          <w:rFonts w:ascii="Arial" w:hAnsi="Arial" w:cs="Arial" w:eastAsia="Arial"/>
          <w:spacing w:val="-3"/>
          <w:sz w:val="22"/>
        </w:rPr>
        <w:t xml:space="preserve">  </w:t>
      </w:r>
      <w:r>
        <w:rPr>
          <w:rFonts w:ascii="Arial" w:hAnsi="Arial" w:cs="Arial" w:eastAsia="Arial"/>
          <w:sz w:val="22"/>
        </w:rPr>
        <w:t xml:space="preserve">  Blind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449"/>
      </w:pPr>
      <w:r>
        <w:rPr>
          <w:rFonts w:ascii="Arial" w:hAnsi="Arial" w:cs="Arial" w:eastAsia="Arial"/>
        </w:rPr>
        <w:t>In the case of a medical emergency where the appropriate treatment of the subject requires knowledge of the study treatment given, the investigator may break the randomization code for an individual subject. In all such cases, the AE necessitating the emergency blind break</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302"/>
      </w:pPr>
      <w:r>
        <w:rPr>
          <w:rFonts w:ascii="Arial" w:hAnsi="Arial" w:cs="Arial" w:eastAsia="Arial"/>
        </w:rPr>
        <w:t>will be handled as an SAE in accordance with the procedures indicated above. Any broken code will be clearly justified and documented. The medical monitor must be notified immediately of the blind break.</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24"/>
        </w:numPr>
        <w:tabs>
          <w:tab w:pos="1439" w:val="left" w:leader="none"/>
          <w:tab w:pos="1440" w:val="left" w:leader="none"/>
        </w:tabs>
        <w:spacing w:line="240" w:lineRule="auto" w:before="0" w:after="0"/>
        <w:ind w:left="1440" w:right="0" w:hanging="1200"/>
        <w:jc w:val="left"/>
        <w:rPr>
          <w:rFonts w:ascii="Arial"/>
          <w:sz w:val="22"/>
        </w:rPr>
      </w:pPr>
      <w:bookmarkStart w:name="9.5.4.6 Regulatory Reporting of Adverse " w:id="239"/>
      <w:bookmarkEnd w:id="239"/>
      <w:r>
        <w:rPr>
          <w:rFonts w:ascii="Arial" w:hAnsi="Arial" w:cs="Arial" w:eastAsia="Arial"/>
        </w:rPr>
      </w:r>
      <w:bookmarkStart w:name="_bookmark89" w:id="240"/>
      <w:bookmarkEnd w:id="240"/>
      <w:r>
        <w:rPr>
          <w:rFonts w:ascii="Arial" w:hAnsi="Arial" w:cs="Arial" w:eastAsia="Arial"/>
        </w:rPr>
      </w:r>
      <w:bookmarkStart w:name="_bookmark89" w:id="241"/>
      <w:bookmarkEnd w:id="241"/>
      <w:r>
        <w:rPr>
          <w:rFonts w:ascii="Arial" w:hAnsi="Arial" w:cs="Arial" w:eastAsia="Arial"/>
          <w:sz w:val="22"/>
        </w:rPr>
        <w:t>Regulator</w:t>
      </w:r>
      <w:r>
        <w:rPr>
          <w:rFonts w:ascii="Arial" w:hAnsi="Arial" w:cs="Arial" w:eastAsia="Arial"/>
          <w:sz w:val="22"/>
        </w:rPr>
        <w:t>y Reporting of Adverse</w:t>
      </w:r>
      <w:r>
        <w:rPr>
          <w:rFonts w:ascii="Arial" w:hAnsi="Arial" w:cs="Arial" w:eastAsia="Arial"/>
          <w:spacing w:val="-5"/>
          <w:sz w:val="22"/>
        </w:rPr>
        <w:t xml:space="preserve">  </w:t>
      </w:r>
      <w:r>
        <w:rPr>
          <w:rFonts w:ascii="Arial" w:hAnsi="Arial" w:cs="Arial" w:eastAsia="Arial"/>
          <w:sz w:val="22"/>
        </w:rPr>
        <w:t xml:space="preserve">  Events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576"/>
      </w:pPr>
      <w:r>
        <w:rPr>
          <w:rFonts w:ascii="Arial" w:hAnsi="Arial" w:cs="Arial" w:eastAsia="Arial"/>
        </w:rPr>
        <w:t>AEs will be reported by the sponsor or a third party acting on behalf of the sponsor to regulatory authorities in compliance with local and regional law and established guidance. The format of these reports will be dictated by the local and regional requirements.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24"/>
        </w:numPr>
        <w:tabs>
          <w:tab w:pos="1199" w:val="left" w:leader="none"/>
          <w:tab w:pos="1200" w:val="left" w:leader="none"/>
        </w:tabs>
        <w:spacing w:line="240" w:lineRule="auto" w:before="0" w:after="0"/>
        <w:ind w:left="1200" w:right="0" w:hanging="960"/>
        <w:jc w:val="left"/>
        <w:rPr>
          <w:rFonts w:ascii="Arial"/>
          <w:sz w:val="24"/>
        </w:rPr>
      </w:pPr>
      <w:bookmarkStart w:name="9.5.5 Completion/Discontinuation of Subj" w:id="242"/>
      <w:bookmarkEnd w:id="242"/>
      <w:r>
        <w:rPr>
          <w:rFonts w:ascii="Arial" w:hAnsi="Arial" w:cs="Arial" w:eastAsia="Arial"/>
        </w:rPr>
      </w:r>
      <w:bookmarkStart w:name="_bookmark90" w:id="243"/>
      <w:bookmarkEnd w:id="243"/>
      <w:r>
        <w:rPr>
          <w:rFonts w:ascii="Arial" w:hAnsi="Arial" w:cs="Arial" w:eastAsia="Arial"/>
        </w:rPr>
      </w:r>
      <w:bookmarkStart w:name="_bookmark90" w:id="244"/>
      <w:bookmarkEnd w:id="244"/>
      <w:r>
        <w:rPr>
          <w:rFonts w:ascii="Arial" w:hAnsi="Arial" w:cs="Arial" w:eastAsia="Arial"/>
          <w:sz w:val="24"/>
        </w:rPr>
        <w:t>Completion/Discontinuatio</w:t>
      </w:r>
      <w:r>
        <w:rPr>
          <w:rFonts w:ascii="Arial" w:hAnsi="Arial" w:cs="Arial" w:eastAsia="Arial"/>
          <w:sz w:val="24"/>
        </w:rPr>
        <w:t>n of</w:t>
      </w:r>
      <w:r>
        <w:rPr>
          <w:rFonts w:ascii="Arial" w:hAnsi="Arial" w:cs="Arial" w:eastAsia="Arial"/>
          <w:spacing w:val="-1"/>
          <w:sz w:val="24"/>
        </w:rPr>
        <w:t xml:space="preserve">  </w:t>
      </w:r>
      <w:r>
        <w:rPr>
          <w:rFonts w:ascii="Arial" w:hAnsi="Arial" w:cs="Arial" w:eastAsia="Arial"/>
          <w:sz w:val="24"/>
        </w:rPr>
        <w:t xml:space="preserve">  Subjects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7"/>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The investigator may withdraw the subject from the study at any time for safety or administrative reasons. A subject may elect to discontinue the study at any time for any reason. All subjects who discontinue the study are to complete the study’s ED procedures indicated in the Schedule of Procedures/Assessments (</w:t>
      </w:r>
      <w:hyperlink w:history="true" w:anchor="_bookmark78">
        <w:r>
          <w:rPr>
            <w:rFonts w:ascii="Arial" w:hAnsi="Arial" w:cs="Arial" w:eastAsia="Arial"/>
            <w:color w:val="0000FF"/>
          </w:rPr>
          <w:t>Table 5</w:t>
        </w:r>
      </w:hyperlink>
      <w:r>
        <w:rPr>
          <w:rFonts w:ascii="Arial" w:hAnsi="Arial" w:cs="Arial" w:eastAsia="Arial"/>
        </w:rPr>
        <w: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272"/>
      </w:pPr>
      <w:r>
        <w:rPr>
          <w:rFonts w:ascii="Arial" w:hAnsi="Arial" w:cs="Arial" w:eastAsia="Arial"/>
        </w:rPr>
        <w:t>The investigator will promptly explain to the subject involved that the study will be discontinued for that subject and provide appropriate medical treatment and other necessary measures for the subject. A subject who has ceased to return for visits will be followed up by mail, phone, or other means to gather information such as the reason for failure to return, the status of treatment compliance, the presence or absence of AEs, and clinical courses of signs and symptoms.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Subjects who discontinue early from the study will be discontinued for 1 of these primary reasons: AE(s), lost to follow-up, subject choice, withdrawal of consent, pregnancy, study terminated by sponsor, or other. In addition to the primary reason, the subject may indicate 1 or more secondary reason(s) for discontinuation. Study disposition information will be collected on the Subject Disposition CRF.</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pPr>
      <w:r>
        <w:rPr>
          <w:rFonts w:ascii="Arial" w:hAnsi="Arial" w:cs="Arial" w:eastAsia="Arial"/>
        </w:rPr>
        <w:t>A subject removed from the study for any reason may be replaced.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24"/>
        </w:numPr>
        <w:tabs>
          <w:tab w:pos="1199" w:val="left" w:leader="none"/>
          <w:tab w:pos="1200" w:val="left" w:leader="none"/>
        </w:tabs>
        <w:spacing w:line="240" w:lineRule="auto" w:before="0" w:after="0"/>
        <w:ind w:left="1200" w:right="0" w:hanging="960"/>
        <w:jc w:val="left"/>
        <w:rPr>
          <w:rFonts w:ascii="Arial"/>
          <w:sz w:val="24"/>
        </w:rPr>
      </w:pPr>
      <w:bookmarkStart w:name="9.5.6 Abuse or Diversion of Study Drug" w:id="245"/>
      <w:bookmarkEnd w:id="245"/>
      <w:r>
        <w:rPr>
          <w:rFonts w:ascii="Arial" w:hAnsi="Arial" w:cs="Arial" w:eastAsia="Arial"/>
        </w:rPr>
      </w:r>
      <w:bookmarkStart w:name="_bookmark91" w:id="246"/>
      <w:bookmarkEnd w:id="246"/>
      <w:r>
        <w:rPr>
          <w:rFonts w:ascii="Arial" w:hAnsi="Arial" w:cs="Arial" w:eastAsia="Arial"/>
        </w:rPr>
      </w:r>
      <w:bookmarkStart w:name="_bookmark91" w:id="247"/>
      <w:bookmarkEnd w:id="247"/>
      <w:r>
        <w:rPr>
          <w:rFonts w:ascii="Arial" w:hAnsi="Arial" w:cs="Arial" w:eastAsia="Arial"/>
          <w:sz w:val="24"/>
        </w:rPr>
        <w:t>Abuse</w:t>
      </w:r>
      <w:r>
        <w:rPr>
          <w:rFonts w:ascii="Arial" w:hAnsi="Arial" w:cs="Arial" w:eastAsia="Arial"/>
          <w:sz w:val="24"/>
        </w:rPr>
        <w:t xml:space="preserve">  or Diversion of Study</w:t>
      </w:r>
      <w:r>
        <w:rPr>
          <w:rFonts w:ascii="Arial" w:hAnsi="Arial" w:cs="Arial" w:eastAsia="Arial"/>
          <w:spacing w:val="-1"/>
          <w:sz w:val="24"/>
        </w:rPr>
        <w:t xml:space="preserve">  </w:t>
      </w:r>
      <w:r>
        <w:rPr>
          <w:rFonts w:ascii="Arial" w:hAnsi="Arial" w:cs="Arial" w:eastAsia="Arial"/>
          <w:sz w:val="24"/>
        </w:rPr>
        <w:t xml:space="preserve">  Drug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7"/>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pPr>
      <w:r>
        <w:rPr>
          <w:rFonts w:ascii="Arial" w:hAnsi="Arial" w:cs="Arial" w:eastAsia="Arial"/>
        </w:rPr>
        <w:t>Not applicable.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24"/>
        </w:numPr>
        <w:tabs>
          <w:tab w:pos="1199" w:val="left" w:leader="none"/>
          <w:tab w:pos="1200" w:val="left" w:leader="none"/>
        </w:tabs>
        <w:spacing w:line="240" w:lineRule="auto" w:before="0" w:after="0"/>
        <w:ind w:left="1200" w:right="0" w:hanging="960"/>
        <w:jc w:val="left"/>
        <w:rPr>
          <w:rFonts w:ascii="Arial"/>
          <w:sz w:val="24"/>
        </w:rPr>
      </w:pPr>
      <w:bookmarkStart w:name="9.5.7 Confirmation of Medical Care by An" w:id="248"/>
      <w:bookmarkEnd w:id="248"/>
      <w:r>
        <w:rPr>
          <w:rFonts w:ascii="Arial" w:hAnsi="Arial" w:cs="Arial" w:eastAsia="Arial"/>
        </w:rPr>
      </w:r>
      <w:bookmarkStart w:name="_bookmark92" w:id="249"/>
      <w:bookmarkEnd w:id="249"/>
      <w:r>
        <w:rPr>
          <w:rFonts w:ascii="Arial" w:hAnsi="Arial" w:cs="Arial" w:eastAsia="Arial"/>
        </w:rPr>
      </w:r>
      <w:bookmarkStart w:name="_bookmark92" w:id="250"/>
      <w:bookmarkEnd w:id="250"/>
      <w:r>
        <w:rPr>
          <w:rFonts w:ascii="Arial" w:hAnsi="Arial" w:cs="Arial" w:eastAsia="Arial"/>
          <w:sz w:val="24"/>
        </w:rPr>
        <w:t>Confirmatio</w:t>
      </w:r>
      <w:r>
        <w:rPr>
          <w:rFonts w:ascii="Arial" w:hAnsi="Arial" w:cs="Arial" w:eastAsia="Arial"/>
          <w:sz w:val="24"/>
        </w:rPr>
        <w:t>n of Medical Care by Another</w:t>
      </w:r>
      <w:r>
        <w:rPr>
          <w:rFonts w:ascii="Arial" w:hAnsi="Arial" w:cs="Arial" w:eastAsia="Arial"/>
          <w:spacing w:val="-9"/>
          <w:sz w:val="24"/>
        </w:rPr>
        <w:t xml:space="preserve">  </w:t>
      </w:r>
      <w:r>
        <w:rPr>
          <w:rFonts w:ascii="Arial" w:hAnsi="Arial" w:cs="Arial" w:eastAsia="Arial"/>
          <w:sz w:val="24"/>
        </w:rPr>
        <w:t xml:space="preserve">  Physician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The investigator will instruct subjects to inform site personnel when they are planning to receive medical care by another physician. At each visit, the investigator will ask the subject whether he/she has received medical care by another physician since the last visit or is planning to do so in the future. When the subject is going to receive medical care by another physician, the investigator, with the consent of the subject, will inform the other physician that the subject is participating in the clinical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14"/>
        </w:numPr>
        <w:tabs>
          <w:tab w:pos="959" w:val="left" w:leader="none"/>
          <w:tab w:pos="960" w:val="left" w:leader="none"/>
        </w:tabs>
        <w:spacing w:line="240" w:lineRule="auto" w:before="84" w:after="0"/>
        <w:ind w:left="960" w:right="0" w:hanging="720"/>
        <w:jc w:val="left"/>
      </w:pPr>
      <w:bookmarkStart w:name="9.6 Data Quality Assurance" w:id="251"/>
      <w:bookmarkEnd w:id="251"/>
      <w:r>
        <w:rPr>
          <w:rFonts w:ascii="Arial" w:hAnsi="Arial" w:cs="Arial" w:eastAsia="Arial"/>
          <w:b w:val="0"/>
        </w:rPr>
      </w:r>
      <w:bookmarkStart w:name="_bookmark93" w:id="252"/>
      <w:bookmarkEnd w:id="252"/>
      <w:r>
        <w:rPr>
          <w:rFonts w:ascii="Arial" w:hAnsi="Arial" w:cs="Arial" w:eastAsia="Arial"/>
          <w:b w:val="0"/>
        </w:rPr>
      </w:r>
      <w:bookmarkStart w:name="_bookmark93" w:id="253"/>
      <w:bookmarkEnd w:id="253"/>
      <w:r>
        <w:rPr>
          <w:rFonts w:ascii="Arial" w:hAnsi="Arial" w:cs="Arial" w:eastAsia="Arial"/>
        </w:rPr>
        <w:t>Data</w:t>
      </w:r>
      <w:r>
        <w:rPr>
          <w:rFonts w:ascii="Arial" w:hAnsi="Arial" w:cs="Arial" w:eastAsia="Arial"/>
        </w:rPr>
        <w:t xml:space="preserve">  Quality</w:t>
      </w:r>
      <w:r>
        <w:rPr>
          <w:rFonts w:ascii="Arial" w:hAnsi="Arial" w:cs="Arial" w:eastAsia="Arial"/>
          <w:spacing w:val="-2"/>
        </w:rPr>
        <w:t xml:space="preserve">  </w:t>
      </w:r>
      <w:r>
        <w:rPr>
          <w:rFonts w:ascii="Arial" w:hAnsi="Arial" w:cs="Arial" w:eastAsia="Arial"/>
        </w:rPr>
        <w:t xml:space="preserve">  Assurance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40" w:right="889"/>
      </w:pPr>
      <w:r>
        <w:rPr>
          <w:rFonts w:ascii="Arial" w:hAnsi="Arial" w:cs="Arial" w:eastAsia="Arial"/>
        </w:rPr>
        <w:t>This study will be organized, performed, and reported in compliance with the protocol, SOPs, working practice documents, and applicable regulations and guidelines.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4"/>
        </w:numPr>
        <w:tabs>
          <w:tab w:pos="1199" w:val="left" w:leader="none"/>
          <w:tab w:pos="1200" w:val="left" w:leader="none"/>
        </w:tabs>
        <w:spacing w:line="240" w:lineRule="auto" w:before="0" w:after="0"/>
        <w:ind w:left="1200" w:right="0" w:hanging="960"/>
        <w:jc w:val="left"/>
        <w:rPr>
          <w:rFonts w:ascii="Arial"/>
          <w:sz w:val="24"/>
        </w:rPr>
      </w:pPr>
      <w:bookmarkStart w:name="9.6.1 Data Collection" w:id="254"/>
      <w:bookmarkEnd w:id="254"/>
      <w:r>
        <w:rPr>
          <w:rFonts w:ascii="Arial" w:hAnsi="Arial" w:cs="Arial" w:eastAsia="Arial"/>
        </w:rPr>
      </w:r>
      <w:bookmarkStart w:name="_bookmark94" w:id="255"/>
      <w:bookmarkEnd w:id="255"/>
      <w:r>
        <w:rPr>
          <w:rFonts w:ascii="Arial" w:hAnsi="Arial" w:cs="Arial" w:eastAsia="Arial"/>
        </w:rPr>
      </w:r>
      <w:bookmarkStart w:name="_bookmark94" w:id="256"/>
      <w:bookmarkEnd w:id="256"/>
      <w:r>
        <w:rPr>
          <w:rFonts w:ascii="Arial" w:hAnsi="Arial" w:cs="Arial" w:eastAsia="Arial"/>
          <w:sz w:val="24"/>
        </w:rPr>
        <w:t>Data</w:t>
      </w:r>
      <w:r>
        <w:rPr>
          <w:rFonts w:ascii="Arial" w:hAnsi="Arial" w:cs="Arial" w:eastAsia="Arial"/>
          <w:sz w:val="24"/>
        </w:rPr>
        <w:t xml:space="preserve">  Collection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55"/>
      </w:pPr>
      <w:r>
        <w:rPr>
          <w:rFonts w:ascii="Arial" w:hAnsi="Arial" w:cs="Arial" w:eastAsia="Arial"/>
        </w:rPr>
        <w:t>Data required by the protocol will be collected on the CRFs and entered into a validated data management system that is compliant with all regulatory requirements. As defined by ICH guidelines, the CRF is a printed, optical, or electronic document designed to record all of the protocol-required information to be reported to the sponsor on each study subject.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272"/>
      </w:pPr>
      <w:r>
        <w:rPr>
          <w:rFonts w:ascii="Arial" w:hAnsi="Arial" w:cs="Arial" w:eastAsia="Arial"/>
        </w:rPr>
        <w:t>Data collection on the CRF must follow the instructions described in the CRF Completion Guidelines. The investigator has ultimate responsibility for the collection and reporting of all clinical data entered on the CRF. The investigator or designee as identified on Form FDA 1572 must sign the completed CRF to attest to its accuracy, authenticity, and completeness.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75"/>
      </w:pPr>
      <w:r>
        <w:rPr>
          <w:rFonts w:ascii="Arial" w:hAnsi="Arial" w:cs="Arial" w:eastAsia="Arial"/>
        </w:rPr>
        <w:t>Completed, original CRFs are the sole property of Eisai and should not be made available in any form to third parties without written permission from Eisai, except for authorized representatives of Eisai or appropriate regulatory authorities.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4"/>
        </w:numPr>
        <w:tabs>
          <w:tab w:pos="1199" w:val="left" w:leader="none"/>
          <w:tab w:pos="1200" w:val="left" w:leader="none"/>
        </w:tabs>
        <w:spacing w:line="240" w:lineRule="auto" w:before="0" w:after="0"/>
        <w:ind w:left="1200" w:right="0" w:hanging="960"/>
        <w:jc w:val="left"/>
        <w:rPr>
          <w:rFonts w:ascii="Arial"/>
          <w:sz w:val="24"/>
        </w:rPr>
      </w:pPr>
      <w:bookmarkStart w:name="9.6.2 Clinical Data Management" w:id="257"/>
      <w:bookmarkEnd w:id="257"/>
      <w:r>
        <w:rPr>
          <w:rFonts w:ascii="Arial" w:hAnsi="Arial" w:cs="Arial" w:eastAsia="Arial"/>
        </w:rPr>
      </w:r>
      <w:bookmarkStart w:name="_bookmark95" w:id="258"/>
      <w:bookmarkEnd w:id="258"/>
      <w:r>
        <w:rPr>
          <w:rFonts w:ascii="Arial" w:hAnsi="Arial" w:cs="Arial" w:eastAsia="Arial"/>
        </w:rPr>
      </w:r>
      <w:bookmarkStart w:name="_bookmark95" w:id="259"/>
      <w:bookmarkEnd w:id="259"/>
      <w:r>
        <w:rPr>
          <w:rFonts w:ascii="Arial" w:hAnsi="Arial" w:cs="Arial" w:eastAsia="Arial"/>
          <w:sz w:val="24"/>
        </w:rPr>
        <w:t>Clinical</w:t>
      </w:r>
      <w:r>
        <w:rPr>
          <w:rFonts w:ascii="Arial" w:hAnsi="Arial" w:cs="Arial" w:eastAsia="Arial"/>
          <w:sz w:val="24"/>
        </w:rPr>
        <w:t xml:space="preserve">  Data Management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87"/>
        <w:jc w:val="both"/>
      </w:pPr>
      <w:r>
        <w:rPr>
          <w:rFonts w:ascii="Arial" w:hAnsi="Arial" w:cs="Arial" w:eastAsia="Arial"/>
        </w:rPr>
        <w:t>All software applications used in the collection of data will be properly validated following standard computer system validation that is compliant with all regulatory requirements. All data, both CRF and external data (eg, laboratory data), will be entered into a clinical system.</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14"/>
        </w:numPr>
        <w:tabs>
          <w:tab w:pos="959" w:val="left" w:leader="none"/>
          <w:tab w:pos="960" w:val="left" w:leader="none"/>
        </w:tabs>
        <w:spacing w:line="240" w:lineRule="auto" w:before="0" w:after="0"/>
        <w:ind w:left="960" w:right="0" w:hanging="720"/>
        <w:jc w:val="left"/>
      </w:pPr>
      <w:bookmarkStart w:name="9.7 Statistical Methods" w:id="260"/>
      <w:bookmarkEnd w:id="260"/>
      <w:r>
        <w:rPr>
          <w:rFonts w:ascii="Arial" w:hAnsi="Arial" w:cs="Arial" w:eastAsia="Arial"/>
          <w:b w:val="0"/>
        </w:rPr>
      </w:r>
      <w:bookmarkStart w:name="_bookmark96" w:id="261"/>
      <w:bookmarkEnd w:id="261"/>
      <w:r>
        <w:rPr>
          <w:rFonts w:ascii="Arial" w:hAnsi="Arial" w:cs="Arial" w:eastAsia="Arial"/>
          <w:b w:val="0"/>
        </w:rPr>
      </w:r>
      <w:bookmarkStart w:name="_bookmark96" w:id="262"/>
      <w:bookmarkEnd w:id="262"/>
      <w:r>
        <w:rPr>
          <w:rFonts w:ascii="Arial" w:hAnsi="Arial" w:cs="Arial" w:eastAsia="Arial"/>
        </w:rPr>
        <w:t>Statistical</w:t>
      </w:r>
      <w:r>
        <w:rPr>
          <w:rFonts w:ascii="Arial" w:hAnsi="Arial" w:cs="Arial" w:eastAsia="Arial"/>
          <w:spacing w:val="-1"/>
        </w:rPr>
        <w:t xml:space="preserve">  </w:t>
      </w:r>
      <w:r>
        <w:rPr>
          <w:rFonts w:ascii="Arial" w:hAnsi="Arial" w:cs="Arial" w:eastAsia="Arial"/>
        </w:rPr>
        <w:t xml:space="preserve">  Methods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40" w:right="272"/>
      </w:pPr>
      <w:r>
        <w:rPr>
          <w:rFonts w:ascii="Arial" w:hAnsi="Arial" w:cs="Arial" w:eastAsia="Arial"/>
        </w:rPr>
        <w:t>All statistical analyses will be performed by the sponsor or designee after the study is completed and the database is locked and released for unblinding. Statistical analyses will be performed using SAS software or other validated statistical software as required.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Descriptive statistics will be presented including mean and standard deviation of photosensitivity range for each subject at Screening and at each time point, for each Treatment visit day by treatment group. Graphical displays of the data for each subject will allow exploration of intersubject and intrasubject variability. Details of statistical methods and analyses will be included in a separate statistical analysis plan (SAP).</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4"/>
        </w:numPr>
        <w:tabs>
          <w:tab w:pos="1199" w:val="left" w:leader="none"/>
          <w:tab w:pos="1200" w:val="left" w:leader="none"/>
        </w:tabs>
        <w:spacing w:line="240" w:lineRule="auto" w:before="1" w:after="0"/>
        <w:ind w:left="1200" w:right="0" w:hanging="960"/>
        <w:jc w:val="left"/>
        <w:rPr>
          <w:rFonts w:ascii="Arial"/>
          <w:sz w:val="24"/>
        </w:rPr>
      </w:pPr>
      <w:bookmarkStart w:name="9.7.1 Statistical and Analytical Plans" w:id="263"/>
      <w:bookmarkEnd w:id="263"/>
      <w:r>
        <w:rPr>
          <w:rFonts w:ascii="Arial" w:hAnsi="Arial" w:cs="Arial" w:eastAsia="Arial"/>
        </w:rPr>
      </w:r>
      <w:bookmarkStart w:name="_bookmark97" w:id="264"/>
      <w:bookmarkEnd w:id="264"/>
      <w:r>
        <w:rPr>
          <w:rFonts w:ascii="Arial" w:hAnsi="Arial" w:cs="Arial" w:eastAsia="Arial"/>
        </w:rPr>
      </w:r>
      <w:bookmarkStart w:name="_bookmark97" w:id="265"/>
      <w:bookmarkEnd w:id="265"/>
      <w:r>
        <w:rPr>
          <w:rFonts w:ascii="Arial" w:hAnsi="Arial" w:cs="Arial" w:eastAsia="Arial"/>
          <w:sz w:val="24"/>
        </w:rPr>
        <w:t>Statistical</w:t>
      </w:r>
      <w:r>
        <w:rPr>
          <w:rFonts w:ascii="Arial" w:hAnsi="Arial" w:cs="Arial" w:eastAsia="Arial"/>
          <w:sz w:val="24"/>
        </w:rPr>
        <w:t xml:space="preserve">  and Analytical Plans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36"/>
      </w:pPr>
      <w:r>
        <w:rPr>
          <w:rFonts w:ascii="Arial" w:hAnsi="Arial" w:cs="Arial" w:eastAsia="Arial"/>
        </w:rPr>
        <w:t>The statistical analyses of study data are described in this section. Further details of the analytical plan will be provided in the SAP, which will be finalized before database lock and treatment unblinding.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85" w:after="0"/>
        <w:ind w:left="1440" w:right="0" w:hanging="1200"/>
        <w:jc w:val="left"/>
        <w:rPr>
          <w:rFonts w:ascii="Arial"/>
          <w:sz w:val="22"/>
        </w:rPr>
      </w:pPr>
      <w:bookmarkStart w:name="9.7.1.1 Study Endpoints" w:id="266"/>
      <w:bookmarkEnd w:id="266"/>
      <w:r>
        <w:rPr>
          <w:rFonts w:ascii="Arial" w:hAnsi="Arial" w:cs="Arial" w:eastAsia="Arial"/>
        </w:rPr>
      </w:r>
      <w:bookmarkStart w:name="_bookmark98" w:id="267"/>
      <w:bookmarkEnd w:id="267"/>
      <w:r>
        <w:rPr>
          <w:rFonts w:ascii="Arial" w:hAnsi="Arial" w:cs="Arial" w:eastAsia="Arial"/>
        </w:rPr>
      </w:r>
      <w:bookmarkStart w:name="_bookmark98" w:id="268"/>
      <w:bookmarkEnd w:id="268"/>
      <w:r>
        <w:rPr>
          <w:rFonts w:ascii="Arial" w:hAnsi="Arial" w:cs="Arial" w:eastAsia="Arial"/>
          <w:sz w:val="22"/>
        </w:rPr>
        <w:t>Stud</w:t>
      </w:r>
      <w:r>
        <w:rPr>
          <w:rFonts w:ascii="Arial" w:hAnsi="Arial" w:cs="Arial" w:eastAsia="Arial"/>
          <w:sz w:val="22"/>
        </w:rPr>
        <w:t>y</w:t>
      </w:r>
      <w:r>
        <w:rPr>
          <w:rFonts w:ascii="Arial" w:hAnsi="Arial" w:cs="Arial" w:eastAsia="Arial"/>
          <w:spacing w:val="-2"/>
          <w:sz w:val="22"/>
        </w:rPr>
        <w:t xml:space="preserve">  </w:t>
      </w:r>
      <w:r>
        <w:rPr>
          <w:rFonts w:ascii="Arial" w:hAnsi="Arial" w:cs="Arial" w:eastAsia="Arial"/>
          <w:sz w:val="22"/>
        </w:rPr>
        <w:t xml:space="preserve">  Endpoints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423"/>
      </w:pPr>
      <w:r>
        <w:rPr>
          <w:rFonts w:ascii="Arial" w:hAnsi="Arial" w:cs="Arial" w:eastAsia="Arial"/>
        </w:rPr>
        <w:t>The reduction in PPR response will be evaluated for 8 hours postdose for the entire time period. A diminution in response is anticipated with the dose range. A statistical difference of treatment doses versus placebo will be evaluated.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416"/>
      </w:pPr>
      <w:r>
        <w:rPr>
          <w:rFonts w:ascii="Arial" w:hAnsi="Arial" w:cs="Arial" w:eastAsia="Arial"/>
        </w:rPr>
        <w:t>The primary endpoint, the change in the PPR range, is evaluated using mixed effects model for comparing low and high treatment doses versus placebo. Another endpoint will include proportions of subjects responding to treatment versus placebo. Most patients have strong responses to effective treatments compared to placebo, which can be evaluated by graphs of partial response (ie, 3 steps narrowing) and abolition of PPR.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5"/>
        </w:numPr>
        <w:tabs>
          <w:tab w:pos="1435" w:val="left" w:leader="none"/>
          <w:tab w:pos="1436" w:val="left" w:leader="none"/>
        </w:tabs>
        <w:spacing w:line="240" w:lineRule="auto" w:before="0" w:after="0"/>
        <w:ind w:left="1435" w:right="0" w:hanging="1196"/>
        <w:jc w:val="left"/>
        <w:rPr>
          <w:rFonts w:ascii="Arial"/>
          <w:sz w:val="18"/>
        </w:rPr>
      </w:pPr>
      <w:bookmarkStart w:name="_bookmark99" w:id="269"/>
      <w:bookmarkEnd w:id="269"/>
      <w:r>
        <w:rPr>
          <w:rFonts w:ascii="Arial" w:hAnsi="Arial" w:cs="Arial" w:eastAsia="Arial"/>
        </w:rPr>
      </w:r>
      <w:bookmarkStart w:name="_bookmark99" w:id="270"/>
      <w:bookmarkEnd w:id="270"/>
      <w:r>
        <w:rPr>
          <w:rFonts w:ascii="Arial" w:hAnsi="Arial" w:cs="Arial" w:eastAsia="Arial"/>
          <w:sz w:val="22"/>
        </w:rPr>
        <w:t>P</w:t>
      </w:r>
      <w:r>
        <w:rPr>
          <w:rFonts w:ascii="Arial" w:hAnsi="Arial" w:cs="Arial" w:eastAsia="Arial"/>
          <w:sz w:val="18"/>
        </w:rPr>
        <w:t>RIMARY</w:t>
      </w:r>
      <w:r>
        <w:rPr>
          <w:rFonts w:ascii="Arial" w:hAnsi="Arial" w:cs="Arial" w:eastAsia="Arial"/>
          <w:spacing w:val="-1"/>
          <w:sz w:val="18"/>
        </w:rPr>
        <w:t xml:space="preserve">  </w:t>
      </w:r>
      <w:r>
        <w:rPr>
          <w:rFonts w:ascii="Arial" w:hAnsi="Arial" w:cs="Arial" w:eastAsia="Arial"/>
          <w:sz w:val="22"/>
        </w:rPr>
        <w:t xml:space="preserve">  E</w:t>
      </w:r>
      <w:r>
        <w:rPr>
          <w:rFonts w:ascii="Arial" w:hAnsi="Arial" w:cs="Arial" w:eastAsia="Arial"/>
          <w:sz w:val="18"/>
        </w:rPr>
        <w:t>NDPOINT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708"/>
      </w:pPr>
      <w:r>
        <w:rPr>
          <w:rFonts w:ascii="Arial" w:hAnsi="Arial" w:cs="Arial" w:eastAsia="Arial"/>
        </w:rPr>
        <w:t>The primary endpoint of this study is the mean change from baseline in the PPR range in each subject’s most sensitive eye condition at each dose level of E2730 as compared to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5"/>
        </w:numPr>
        <w:tabs>
          <w:tab w:pos="1435" w:val="left" w:leader="none"/>
          <w:tab w:pos="1436" w:val="left" w:leader="none"/>
        </w:tabs>
        <w:spacing w:line="240" w:lineRule="auto" w:before="0" w:after="0"/>
        <w:ind w:left="1435" w:right="0" w:hanging="1196"/>
        <w:jc w:val="left"/>
        <w:rPr>
          <w:rFonts w:ascii="Arial"/>
          <w:sz w:val="18"/>
        </w:rPr>
      </w:pPr>
      <w:bookmarkStart w:name="_bookmark100" w:id="271"/>
      <w:bookmarkEnd w:id="271"/>
      <w:r>
        <w:rPr>
          <w:rFonts w:ascii="Arial" w:hAnsi="Arial" w:cs="Arial" w:eastAsia="Arial"/>
        </w:rPr>
      </w:r>
      <w:bookmarkStart w:name="_bookmark100" w:id="272"/>
      <w:bookmarkEnd w:id="272"/>
      <w:r>
        <w:rPr>
          <w:rFonts w:ascii="Arial" w:hAnsi="Arial" w:cs="Arial" w:eastAsia="Arial"/>
          <w:sz w:val="22"/>
        </w:rPr>
        <w:t>S</w:t>
      </w:r>
      <w:r>
        <w:rPr>
          <w:rFonts w:ascii="Arial" w:hAnsi="Arial" w:cs="Arial" w:eastAsia="Arial"/>
          <w:sz w:val="18"/>
        </w:rPr>
        <w:t>ECONDARY</w:t>
      </w:r>
      <w:r>
        <w:rPr>
          <w:rFonts w:ascii="Arial" w:hAnsi="Arial" w:cs="Arial" w:eastAsia="Arial"/>
          <w:spacing w:val="-2"/>
          <w:sz w:val="18"/>
        </w:rPr>
        <w:t xml:space="preserve">  </w:t>
      </w:r>
      <w:r>
        <w:rPr>
          <w:rFonts w:ascii="Arial" w:hAnsi="Arial" w:cs="Arial" w:eastAsia="Arial"/>
          <w:sz w:val="22"/>
        </w:rPr>
        <w:t xml:space="preserve">  E</w:t>
      </w:r>
      <w:r>
        <w:rPr>
          <w:rFonts w:ascii="Arial" w:hAnsi="Arial" w:cs="Arial" w:eastAsia="Arial"/>
          <w:sz w:val="18"/>
        </w:rPr>
        <w:t>NDPOINTS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0" w:after="0"/>
        <w:ind w:left="597" w:right="643" w:hanging="358"/>
        <w:jc w:val="left"/>
        <w:rPr>
          <w:sz w:val="24"/>
        </w:rPr>
      </w:pPr>
      <w:r>
        <w:rPr>
          <w:rFonts w:ascii="Arial" w:hAnsi="Arial" w:cs="Arial" w:eastAsia="Arial"/>
          <w:sz w:val="24"/>
        </w:rPr>
        <w:t>Mean changes from baseline in PPR ranges in each subject’s eye closure, eyes closed, and eyes open condition at each dose level of E2730 as compared to</w:t>
      </w:r>
      <w:r>
        <w:rPr>
          <w:rFonts w:ascii="Arial" w:hAnsi="Arial" w:cs="Arial" w:eastAsia="Arial"/>
          <w:spacing w:val="-2"/>
          <w:sz w:val="24"/>
        </w:rPr>
        <w:t xml:space="preserve">  </w:t>
      </w:r>
      <w:r>
        <w:rPr>
          <w:rFonts w:ascii="Arial" w:hAnsi="Arial" w:cs="Arial" w:eastAsia="Arial"/>
          <w:sz w:val="24"/>
        </w:rPr>
        <w:t xml:space="preserve">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0" w:after="0"/>
        <w:ind w:left="597" w:right="423" w:hanging="358"/>
        <w:jc w:val="left"/>
        <w:rPr>
          <w:sz w:val="24"/>
        </w:rPr>
      </w:pPr>
      <w:r>
        <w:rPr>
          <w:rFonts w:ascii="Arial" w:hAnsi="Arial" w:cs="Arial" w:eastAsia="Arial"/>
          <w:sz w:val="24"/>
        </w:rPr>
        <w:t>Onset, maximum change, and duration of photosensitivity response at each dose level in all 3 eye conditions at the time course of E2730 as compared to</w:t>
      </w:r>
      <w:r>
        <w:rPr>
          <w:rFonts w:ascii="Arial" w:hAnsi="Arial" w:cs="Arial" w:eastAsia="Arial"/>
          <w:spacing w:val="-5"/>
          <w:sz w:val="24"/>
        </w:rPr>
        <w:t xml:space="preserve">  </w:t>
      </w:r>
      <w:r>
        <w:rPr>
          <w:rFonts w:ascii="Arial" w:hAnsi="Arial" w:cs="Arial" w:eastAsia="Arial"/>
          <w:sz w:val="24"/>
        </w:rPr>
        <w:t xml:space="preserve">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0" w:after="0"/>
        <w:ind w:left="597" w:right="385" w:hanging="358"/>
        <w:jc w:val="left"/>
        <w:rPr>
          <w:sz w:val="24"/>
        </w:rPr>
      </w:pPr>
      <w:r>
        <w:rPr>
          <w:rFonts w:ascii="Arial" w:hAnsi="Arial" w:cs="Arial" w:eastAsia="Arial"/>
          <w:sz w:val="24"/>
        </w:rPr>
        <w:t>Frequency and percentage of subjects with Complete Suppression, Partial Response,</w:t>
      </w:r>
      <w:r>
        <w:rPr>
          <w:rFonts w:ascii="Arial" w:hAnsi="Arial" w:cs="Arial" w:eastAsia="Arial"/>
          <w:spacing w:val="-35"/>
          <w:sz w:val="24"/>
        </w:rPr>
        <w:t xml:space="preserve">  </w:t>
      </w:r>
      <w:r>
        <w:rPr>
          <w:rFonts w:ascii="Arial" w:hAnsi="Arial" w:cs="Arial" w:eastAsia="Arial"/>
          <w:sz w:val="24"/>
        </w:rPr>
        <w:t xml:space="preserve">  and no Response of PPR at each dose level of E2730 as compared to</w:t>
      </w:r>
      <w:r>
        <w:rPr>
          <w:rFonts w:ascii="Arial" w:hAnsi="Arial" w:cs="Arial" w:eastAsia="Arial"/>
          <w:spacing w:val="-14"/>
          <w:sz w:val="24"/>
        </w:rPr>
        <w:t xml:space="preserve">  </w:t>
      </w:r>
      <w:r>
        <w:rPr>
          <w:rFonts w:ascii="Arial" w:hAnsi="Arial" w:cs="Arial" w:eastAsia="Arial"/>
          <w:sz w:val="24"/>
        </w:rPr>
        <w:t xml:space="preserve">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1" w:after="0"/>
        <w:ind w:left="597" w:right="876" w:hanging="358"/>
        <w:jc w:val="left"/>
        <w:rPr>
          <w:sz w:val="24"/>
        </w:rPr>
      </w:pPr>
      <w:r>
        <w:rPr>
          <w:rFonts w:ascii="Arial" w:hAnsi="Arial" w:cs="Arial" w:eastAsia="Arial"/>
          <w:sz w:val="24"/>
        </w:rPr>
        <w:t>Occurrence of AEs or changes in the neurological examination after single doses of E2730 compared to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1" w:after="0"/>
        <w:ind w:left="597" w:right="466" w:hanging="358"/>
        <w:jc w:val="left"/>
        <w:rPr>
          <w:sz w:val="24"/>
        </w:rPr>
      </w:pPr>
      <w:r>
        <w:rPr>
          <w:rFonts w:ascii="Arial" w:hAnsi="Arial" w:cs="Arial" w:eastAsia="Arial"/>
          <w:sz w:val="24"/>
        </w:rPr>
        <w:t>Changes in vital signs, serum chemistries, complete blood counts, or liver function tests after single doses of E2730 compared to</w:t>
      </w:r>
      <w:r>
        <w:rPr>
          <w:rFonts w:ascii="Arial" w:hAnsi="Arial" w:cs="Arial" w:eastAsia="Arial"/>
          <w:spacing w:val="-5"/>
          <w:sz w:val="24"/>
        </w:rPr>
        <w:t xml:space="preserve">  </w:t>
      </w:r>
      <w:r>
        <w:rPr>
          <w:rFonts w:ascii="Arial" w:hAnsi="Arial" w:cs="Arial" w:eastAsia="Arial"/>
          <w:sz w:val="24"/>
        </w:rPr>
        <w:t xml:space="preserve">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1" w:after="0"/>
        <w:ind w:left="597" w:right="0" w:hanging="358"/>
        <w:jc w:val="left"/>
        <w:rPr>
          <w:sz w:val="24"/>
        </w:rPr>
      </w:pPr>
      <w:r>
        <w:rPr>
          <w:rFonts w:ascii="Arial" w:hAnsi="Arial" w:cs="Arial" w:eastAsia="Arial"/>
          <w:sz w:val="24"/>
        </w:rPr>
        <w:t>PK of E2730 and its N-acetyl metabolite,</w:t>
      </w:r>
      <w:r>
        <w:rPr>
          <w:rFonts w:ascii="Arial" w:hAnsi="Arial" w:cs="Arial" w:eastAsia="Arial"/>
          <w:spacing w:val="-2"/>
          <w:sz w:val="24"/>
        </w:rPr>
        <w:t xml:space="preserve">  </w:t>
      </w:r>
      <w:r>
        <w:rPr>
          <w:rFonts w:ascii="Arial" w:hAnsi="Arial" w:cs="Arial" w:eastAsia="Arial"/>
          <w:sz w:val="24"/>
        </w:rPr>
        <w:t xml:space="preserve">  M1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0" w:after="0"/>
        <w:ind w:left="597" w:right="416" w:hanging="358"/>
        <w:jc w:val="left"/>
        <w:rPr>
          <w:sz w:val="24"/>
        </w:rPr>
      </w:pPr>
      <w:r>
        <w:rPr>
          <w:rFonts w:ascii="Arial" w:hAnsi="Arial" w:cs="Arial" w:eastAsia="Arial"/>
          <w:sz w:val="24"/>
        </w:rPr>
        <w:t>Relationship between PK parameters of E2730 onset, maximum change, and duration of impact on photosensitivity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0" w:hanging="1200"/>
        <w:jc w:val="left"/>
        <w:rPr>
          <w:rFonts w:ascii="Arial"/>
          <w:sz w:val="22"/>
        </w:rPr>
      </w:pPr>
      <w:bookmarkStart w:name="9.7.1.2 Definitions of Analysis Sets" w:id="273"/>
      <w:bookmarkEnd w:id="273"/>
      <w:r>
        <w:rPr>
          <w:rFonts w:ascii="Arial" w:hAnsi="Arial" w:cs="Arial" w:eastAsia="Arial"/>
        </w:rPr>
      </w:r>
      <w:bookmarkStart w:name="_bookmark101" w:id="274"/>
      <w:bookmarkEnd w:id="274"/>
      <w:r>
        <w:rPr>
          <w:rFonts w:ascii="Arial" w:hAnsi="Arial" w:cs="Arial" w:eastAsia="Arial"/>
        </w:rPr>
      </w:r>
      <w:bookmarkStart w:name="_bookmark101" w:id="275"/>
      <w:bookmarkEnd w:id="275"/>
      <w:r>
        <w:rPr>
          <w:rFonts w:ascii="Arial" w:hAnsi="Arial" w:cs="Arial" w:eastAsia="Arial"/>
          <w:sz w:val="22"/>
        </w:rPr>
        <w:t>Definition</w:t>
      </w:r>
      <w:r>
        <w:rPr>
          <w:rFonts w:ascii="Arial" w:hAnsi="Arial" w:cs="Arial" w:eastAsia="Arial"/>
          <w:sz w:val="22"/>
        </w:rPr>
        <w:t>s of Analysis</w:t>
      </w:r>
      <w:r>
        <w:rPr>
          <w:rFonts w:ascii="Arial" w:hAnsi="Arial" w:cs="Arial" w:eastAsia="Arial"/>
          <w:spacing w:val="-4"/>
          <w:sz w:val="22"/>
        </w:rPr>
        <w:t xml:space="preserve">  </w:t>
      </w:r>
      <w:r>
        <w:rPr>
          <w:rFonts w:ascii="Arial" w:hAnsi="Arial" w:cs="Arial" w:eastAsia="Arial"/>
          <w:sz w:val="22"/>
        </w:rPr>
        <w:t xml:space="preserve">  Sets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255"/>
      </w:pPr>
      <w:r>
        <w:rPr>
          <w:rFonts w:ascii="Arial" w:hAnsi="Arial" w:cs="Arial" w:eastAsia="Arial"/>
        </w:rPr>
        <w:t>The Safety Analysis Set is the group of subjects who receive at least 1 dose of study drug and have at least 1 postdose safety assessment.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489"/>
      </w:pPr>
      <w:r>
        <w:rPr>
          <w:rFonts w:ascii="Arial" w:hAnsi="Arial" w:cs="Arial" w:eastAsia="Arial"/>
        </w:rPr>
        <w:t>The Pharmacokinetic Analysis Set is the group of randomized subjects who receive at least 1 dose of study drug and have sufficient PK data to derive at least 1 PK parameter.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315"/>
      </w:pPr>
      <w:r>
        <w:rPr>
          <w:rFonts w:ascii="Arial" w:hAnsi="Arial" w:cs="Arial" w:eastAsia="Arial"/>
        </w:rPr>
        <w:t>The Pharmacodynamic Analysis Set is the group of randomized subjects who receive at least 1 dose of study drug and have sufficient PD data to derive at least 1 PD parameter.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0" w:hanging="1200"/>
        <w:jc w:val="left"/>
        <w:rPr>
          <w:rFonts w:ascii="Arial"/>
          <w:sz w:val="22"/>
        </w:rPr>
      </w:pPr>
      <w:bookmarkStart w:name="9.7.1.3 Subject Disposition" w:id="276"/>
      <w:bookmarkEnd w:id="276"/>
      <w:r>
        <w:rPr>
          <w:rFonts w:ascii="Arial" w:hAnsi="Arial" w:cs="Arial" w:eastAsia="Arial"/>
        </w:rPr>
      </w:r>
      <w:bookmarkStart w:name="_bookmark102" w:id="277"/>
      <w:bookmarkEnd w:id="277"/>
      <w:r>
        <w:rPr>
          <w:rFonts w:ascii="Arial" w:hAnsi="Arial" w:cs="Arial" w:eastAsia="Arial"/>
        </w:rPr>
      </w:r>
      <w:bookmarkStart w:name="_bookmark102" w:id="278"/>
      <w:bookmarkEnd w:id="278"/>
      <w:r>
        <w:rPr>
          <w:rFonts w:ascii="Arial" w:hAnsi="Arial" w:cs="Arial" w:eastAsia="Arial"/>
          <w:sz w:val="22"/>
        </w:rPr>
        <w:t>Subjec</w:t>
      </w:r>
      <w:r>
        <w:rPr>
          <w:rFonts w:ascii="Arial" w:hAnsi="Arial" w:cs="Arial" w:eastAsia="Arial"/>
          <w:sz w:val="22"/>
        </w:rPr>
        <w:t>t</w:t>
      </w:r>
      <w:r>
        <w:rPr>
          <w:rFonts w:ascii="Arial" w:hAnsi="Arial" w:cs="Arial" w:eastAsia="Arial"/>
          <w:spacing w:val="-2"/>
          <w:sz w:val="22"/>
        </w:rPr>
        <w:t xml:space="preserve">  </w:t>
      </w:r>
      <w:r>
        <w:rPr>
          <w:rFonts w:ascii="Arial" w:hAnsi="Arial" w:cs="Arial" w:eastAsia="Arial"/>
          <w:sz w:val="22"/>
        </w:rPr>
        <w:t xml:space="preserve">  Disposition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The number of subjects screened and the number failing screening (overall and by reason for failure) will be summarized. Screen failure data will be listed. The number of subjects randomized along with the number of subjects administered each dose of E2730 will also be presented.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562"/>
      </w:pPr>
      <w:r>
        <w:rPr>
          <w:rFonts w:ascii="Arial" w:hAnsi="Arial" w:cs="Arial" w:eastAsia="Arial"/>
        </w:rPr>
        <w:t>Subjects who prematurely terminate their participation in the study will be summarized by their primary reason for study termination.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0" w:hanging="1200"/>
        <w:jc w:val="left"/>
        <w:rPr>
          <w:rFonts w:ascii="Arial"/>
          <w:sz w:val="22"/>
        </w:rPr>
      </w:pPr>
      <w:bookmarkStart w:name="9.7.1.4 Demographic and Other Baseline C" w:id="279"/>
      <w:bookmarkEnd w:id="279"/>
      <w:r>
        <w:rPr>
          <w:rFonts w:ascii="Arial" w:hAnsi="Arial" w:cs="Arial" w:eastAsia="Arial"/>
        </w:rPr>
      </w:r>
      <w:bookmarkStart w:name="_bookmark103" w:id="280"/>
      <w:bookmarkEnd w:id="280"/>
      <w:r>
        <w:rPr>
          <w:rFonts w:ascii="Arial" w:hAnsi="Arial" w:cs="Arial" w:eastAsia="Arial"/>
        </w:rPr>
      </w:r>
      <w:bookmarkStart w:name="_bookmark103" w:id="281"/>
      <w:bookmarkEnd w:id="281"/>
      <w:r>
        <w:rPr>
          <w:rFonts w:ascii="Arial" w:hAnsi="Arial" w:cs="Arial" w:eastAsia="Arial"/>
          <w:sz w:val="22"/>
        </w:rPr>
        <w:t>Demographi</w:t>
      </w:r>
      <w:r>
        <w:rPr>
          <w:rFonts w:ascii="Arial" w:hAnsi="Arial" w:cs="Arial" w:eastAsia="Arial"/>
          <w:sz w:val="22"/>
        </w:rPr>
        <w:t>c and Other Baseline</w:t>
      </w:r>
      <w:r>
        <w:rPr>
          <w:rFonts w:ascii="Arial" w:hAnsi="Arial" w:cs="Arial" w:eastAsia="Arial"/>
          <w:spacing w:val="-6"/>
          <w:sz w:val="22"/>
        </w:rPr>
        <w:t xml:space="preserve">  </w:t>
      </w:r>
      <w:r>
        <w:rPr>
          <w:rFonts w:ascii="Arial" w:hAnsi="Arial" w:cs="Arial" w:eastAsia="Arial"/>
          <w:sz w:val="22"/>
        </w:rPr>
        <w:t xml:space="preserve">  Characteristics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Demographic and other baseline characteristics for the Safety Analysis Set will be summarized by dose group for each part of the study using descriptive statistics. Continuous demographic and baseline variables include age, height, and weight; categorical variables include sex, age group, and race.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1" w:after="0"/>
        <w:ind w:left="1440" w:right="0" w:hanging="1200"/>
        <w:jc w:val="left"/>
        <w:rPr>
          <w:rFonts w:ascii="Arial"/>
          <w:sz w:val="22"/>
        </w:rPr>
      </w:pPr>
      <w:bookmarkStart w:name="9.7.1.5 Prior and Concomitant Therapy" w:id="282"/>
      <w:bookmarkEnd w:id="282"/>
      <w:r>
        <w:rPr>
          <w:rFonts w:ascii="Arial" w:hAnsi="Arial" w:cs="Arial" w:eastAsia="Arial"/>
        </w:rPr>
      </w:r>
      <w:bookmarkStart w:name="_bookmark104" w:id="283"/>
      <w:bookmarkEnd w:id="283"/>
      <w:r>
        <w:rPr>
          <w:rFonts w:ascii="Arial" w:hAnsi="Arial" w:cs="Arial" w:eastAsia="Arial"/>
        </w:rPr>
      </w:r>
      <w:bookmarkStart w:name="_bookmark104" w:id="284"/>
      <w:bookmarkEnd w:id="284"/>
      <w:r>
        <w:rPr>
          <w:rFonts w:ascii="Arial" w:hAnsi="Arial" w:cs="Arial" w:eastAsia="Arial"/>
          <w:sz w:val="22"/>
        </w:rPr>
        <w:t>Prio</w:t>
      </w:r>
      <w:r>
        <w:rPr>
          <w:rFonts w:ascii="Arial" w:hAnsi="Arial" w:cs="Arial" w:eastAsia="Arial"/>
          <w:sz w:val="22"/>
        </w:rPr>
        <w:t>r and Concomitant</w:t>
      </w:r>
      <w:r>
        <w:rPr>
          <w:rFonts w:ascii="Arial" w:hAnsi="Arial" w:cs="Arial" w:eastAsia="Arial"/>
          <w:spacing w:val="-4"/>
          <w:sz w:val="22"/>
        </w:rPr>
        <w:t xml:space="preserve">  </w:t>
      </w:r>
      <w:r>
        <w:rPr>
          <w:rFonts w:ascii="Arial" w:hAnsi="Arial" w:cs="Arial" w:eastAsia="Arial"/>
          <w:sz w:val="22"/>
        </w:rPr>
        <w:t xml:space="preserve">  Therapy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55"/>
      </w:pPr>
      <w:r>
        <w:rPr>
          <w:rFonts w:ascii="Arial" w:hAnsi="Arial" w:cs="Arial" w:eastAsia="Arial"/>
        </w:rPr>
        <w:t>All investigator terms for medications recorded in the CRF will be coded to an 11-digit code using the World Health Organization Drug Dictionary. The number (percentage) of subjects who took prior and concomitant medications will be summarized by treatment group, Anatomical Therapeutic Chemical (ATC) class, and World Health Organization Drug Dictionary preferred term (PT). Prior medications will be defined as medications that stopped before the dose of study drug. Concomitant medications will be defined as medications that started after the date of the dose of study drug up to 28 days after the subject’s dose. All medications will be presented in subject data listings.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0" w:hanging="1200"/>
        <w:jc w:val="left"/>
        <w:rPr>
          <w:rFonts w:ascii="Arial"/>
          <w:sz w:val="22"/>
        </w:rPr>
      </w:pPr>
      <w:bookmarkStart w:name="9.7.1.6 Efficacy Analyses" w:id="285"/>
      <w:bookmarkEnd w:id="285"/>
      <w:r>
        <w:rPr>
          <w:rFonts w:ascii="Arial" w:hAnsi="Arial" w:cs="Arial" w:eastAsia="Arial"/>
        </w:rPr>
      </w:r>
      <w:bookmarkStart w:name="_bookmark105" w:id="286"/>
      <w:bookmarkEnd w:id="286"/>
      <w:r>
        <w:rPr>
          <w:rFonts w:ascii="Arial" w:hAnsi="Arial" w:cs="Arial" w:eastAsia="Arial"/>
        </w:rPr>
      </w:r>
      <w:bookmarkStart w:name="_bookmark105" w:id="287"/>
      <w:bookmarkEnd w:id="287"/>
      <w:r>
        <w:rPr>
          <w:rFonts w:ascii="Arial" w:hAnsi="Arial" w:cs="Arial" w:eastAsia="Arial"/>
          <w:sz w:val="22"/>
        </w:rPr>
        <w:t>Efficac</w:t>
      </w:r>
      <w:r>
        <w:rPr>
          <w:rFonts w:ascii="Arial" w:hAnsi="Arial" w:cs="Arial" w:eastAsia="Arial"/>
          <w:sz w:val="22"/>
        </w:rPr>
        <w:t>y</w:t>
      </w:r>
      <w:r>
        <w:rPr>
          <w:rFonts w:ascii="Arial" w:hAnsi="Arial" w:cs="Arial" w:eastAsia="Arial"/>
          <w:spacing w:val="-2"/>
          <w:sz w:val="22"/>
        </w:rPr>
        <w:t xml:space="preserve">  </w:t>
      </w:r>
      <w:r>
        <w:rPr>
          <w:rFonts w:ascii="Arial" w:hAnsi="Arial" w:cs="Arial" w:eastAsia="Arial"/>
          <w:sz w:val="22"/>
        </w:rPr>
        <w:t xml:space="preserve">  Analyses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pPr>
      <w:r>
        <w:rPr>
          <w:rFonts w:ascii="Arial" w:hAnsi="Arial" w:cs="Arial" w:eastAsia="Arial"/>
        </w:rPr>
        <w:t>Not applicable.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257" w:hanging="1200"/>
        <w:jc w:val="left"/>
        <w:rPr>
          <w:rFonts w:ascii="Arial"/>
          <w:sz w:val="22"/>
        </w:rPr>
      </w:pPr>
      <w:bookmarkStart w:name="9.7.1.7 Pharmacokinetic, Pharmacodynamic" w:id="288"/>
      <w:bookmarkEnd w:id="288"/>
      <w:r>
        <w:rPr>
          <w:rFonts w:ascii="Arial" w:hAnsi="Arial" w:cs="Arial" w:eastAsia="Arial"/>
        </w:rPr>
      </w:r>
      <w:bookmarkStart w:name="_bookmark106" w:id="289"/>
      <w:bookmarkEnd w:id="289"/>
      <w:r>
        <w:rPr>
          <w:rFonts w:ascii="Arial" w:hAnsi="Arial" w:cs="Arial" w:eastAsia="Arial"/>
        </w:rPr>
      </w:r>
      <w:bookmarkStart w:name="_bookmark106" w:id="290"/>
      <w:bookmarkEnd w:id="290"/>
      <w:r>
        <w:rPr>
          <w:rFonts w:ascii="Arial" w:hAnsi="Arial" w:cs="Arial" w:eastAsia="Arial"/>
          <w:sz w:val="22"/>
        </w:rPr>
        <w:t>Pharmacokinetic</w:t>
      </w:r>
      <w:r>
        <w:rPr>
          <w:rFonts w:ascii="Arial" w:hAnsi="Arial" w:cs="Arial" w:eastAsia="Arial"/>
          <w:sz w:val="22"/>
        </w:rPr>
        <w:t>, Pharmacodynamic, Pharmacogenomic, and Other Biomarker Analyses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7"/>
        </w:numPr>
        <w:tabs>
          <w:tab w:pos="1435" w:val="left" w:leader="none"/>
          <w:tab w:pos="1436" w:val="left" w:leader="none"/>
        </w:tabs>
        <w:spacing w:line="240" w:lineRule="auto" w:before="0" w:after="0"/>
        <w:ind w:left="1435" w:right="0" w:hanging="1196"/>
        <w:jc w:val="left"/>
        <w:rPr>
          <w:rFonts w:ascii="Arial"/>
          <w:sz w:val="18"/>
        </w:rPr>
      </w:pPr>
      <w:bookmarkStart w:name="_bookmark107" w:id="291"/>
      <w:bookmarkEnd w:id="291"/>
      <w:r>
        <w:rPr>
          <w:rFonts w:ascii="Arial" w:hAnsi="Arial" w:cs="Arial" w:eastAsia="Arial"/>
        </w:rPr>
      </w:r>
      <w:bookmarkStart w:name="_bookmark107" w:id="292"/>
      <w:bookmarkEnd w:id="292"/>
      <w:r>
        <w:rPr>
          <w:rFonts w:ascii="Arial" w:hAnsi="Arial" w:cs="Arial" w:eastAsia="Arial"/>
          <w:sz w:val="22"/>
        </w:rPr>
        <w:t>P</w:t>
      </w:r>
      <w:r>
        <w:rPr>
          <w:rFonts w:ascii="Arial" w:hAnsi="Arial" w:cs="Arial" w:eastAsia="Arial"/>
          <w:sz w:val="18"/>
        </w:rPr>
        <w:t>HARMACOKINETIC</w:t>
      </w:r>
      <w:r>
        <w:rPr>
          <w:rFonts w:ascii="Arial" w:hAnsi="Arial" w:cs="Arial" w:eastAsia="Arial"/>
          <w:spacing w:val="-1"/>
          <w:sz w:val="18"/>
        </w:rPr>
        <w:t xml:space="preserve">  </w:t>
      </w:r>
      <w:r>
        <w:rPr>
          <w:rFonts w:ascii="Arial" w:hAnsi="Arial" w:cs="Arial" w:eastAsia="Arial"/>
          <w:sz w:val="22"/>
        </w:rPr>
        <w:t xml:space="preserve">  A</w:t>
      </w:r>
      <w:r>
        <w:rPr>
          <w:rFonts w:ascii="Arial" w:hAnsi="Arial" w:cs="Arial" w:eastAsia="Arial"/>
          <w:sz w:val="18"/>
        </w:rPr>
        <w:t>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The PK Analysis Set will be used for listings of individual E2730 and M1 plasma concentrations, summaries and listings of PK parameters. Plasma concentrations will be tabulated by nominal sampling time and summarized by treatment dose using summary statistics.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582"/>
      </w:pPr>
      <w:r>
        <w:rPr>
          <w:rFonts w:ascii="Arial" w:hAnsi="Arial" w:cs="Arial" w:eastAsia="Arial"/>
        </w:rPr>
        <w:t>The following PK parameters will be derived by noncompartmental analysis using plasma concentrations of E2730 and M1. These parameters will include, but are not limited to: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7"/>
        </w:numPr>
        <w:tabs>
          <w:tab w:pos="959" w:val="left" w:leader="none"/>
          <w:tab w:pos="960" w:val="left" w:leader="none"/>
          <w:tab w:pos="2039" w:val="left" w:leader="none"/>
        </w:tabs>
        <w:spacing w:line="240" w:lineRule="auto" w:before="80" w:after="0"/>
        <w:ind w:left="960" w:right="0" w:hanging="360"/>
        <w:jc w:val="left"/>
        <w:rPr>
          <w:sz w:val="24"/>
        </w:rPr>
      </w:pPr>
      <w:r>
        <w:rPr>
          <w:rFonts w:ascii="Arial" w:hAnsi="Arial" w:cs="Arial" w:eastAsia="Arial"/>
          <w:sz w:val="24"/>
        </w:rPr>
        <w:t>C</w:t>
      </w:r>
      <w:r>
        <w:rPr>
          <w:rFonts w:ascii="Arial" w:hAnsi="Arial" w:cs="Arial" w:eastAsia="Arial"/>
          <w:sz w:val="24"/>
          <w:vertAlign w:val="subscript"/>
        </w:rPr>
        <w:t>max</w:t>
      </w:r>
      <w:r>
        <w:rPr>
          <w:rFonts w:ascii="Arial" w:hAnsi="Arial" w:cs="Arial" w:eastAsia="Arial"/>
          <w:sz w:val="24"/>
          <w:vertAlign w:val="baseline"/>
        </w:rPr>
        <w:tab/>
        <w:t>maximum observed</w:t>
      </w:r>
      <w:r>
        <w:rPr>
          <w:rFonts w:ascii="Arial" w:hAnsi="Arial" w:cs="Arial" w:eastAsia="Arial"/>
          <w:spacing w:val="-2"/>
          <w:sz w:val="24"/>
          <w:vertAlign w:val="baseline"/>
        </w:rPr>
        <w:t xml:space="preserve">  </w:t>
      </w:r>
      <w:r>
        <w:rPr>
          <w:rFonts w:ascii="Arial" w:hAnsi="Arial" w:cs="Arial" w:eastAsia="Arial"/>
          <w:sz w:val="24"/>
          <w:vertAlign w:val="baseline"/>
        </w:rPr>
        <w:t xml:space="preserve">  concentration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7"/>
        </w:numPr>
        <w:tabs>
          <w:tab w:pos="959" w:val="left" w:leader="none"/>
          <w:tab w:pos="960" w:val="left" w:leader="none"/>
        </w:tabs>
        <w:spacing w:line="240" w:lineRule="auto" w:before="60" w:after="0"/>
        <w:ind w:left="960" w:right="0" w:hanging="360"/>
        <w:jc w:val="left"/>
        <w:rPr>
          <w:sz w:val="24"/>
        </w:rPr>
      </w:pPr>
      <w:r>
        <w:rPr>
          <w:rFonts w:ascii="Arial" w:hAnsi="Arial" w:cs="Arial" w:eastAsia="Arial"/>
          <w:sz w:val="24"/>
        </w:rPr>
        <w:t>AUC</w:t>
      </w:r>
      <w:r>
        <w:rPr>
          <w:rFonts w:ascii="Arial" w:hAnsi="Arial" w:cs="Arial" w:eastAsia="Arial"/>
          <w:sz w:val="24"/>
          <w:vertAlign w:val="subscript"/>
        </w:rPr>
        <w:t>(0-8h)</w:t>
      </w:r>
      <w:r>
        <w:rPr>
          <w:rFonts w:ascii="Arial" w:hAnsi="Arial" w:cs="Arial" w:eastAsia="Arial"/>
          <w:sz w:val="24"/>
          <w:vertAlign w:val="baseline"/>
        </w:rPr>
        <w:t xml:space="preserve">  area under concentration x time curve from time 0 to 8 hours</w:t>
      </w:r>
      <w:r>
        <w:rPr>
          <w:rFonts w:ascii="Arial" w:hAnsi="Arial" w:cs="Arial" w:eastAsia="Arial"/>
          <w:spacing w:val="-17"/>
          <w:sz w:val="24"/>
          <w:vertAlign w:val="baseline"/>
        </w:rPr>
        <w:t xml:space="preserve">  </w:t>
      </w:r>
      <w:r>
        <w:rPr>
          <w:rFonts w:ascii="Arial" w:hAnsi="Arial" w:cs="Arial" w:eastAsia="Arial"/>
          <w:sz w:val="24"/>
          <w:vertAlign w:val="baseline"/>
        </w:rPr>
        <w:t xml:space="preserve">  postdose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7"/>
        </w:numPr>
        <w:tabs>
          <w:tab w:pos="959" w:val="left" w:leader="none"/>
          <w:tab w:pos="960" w:val="left" w:leader="none"/>
          <w:tab w:pos="2039" w:val="left" w:leader="none"/>
        </w:tabs>
        <w:spacing w:line="240" w:lineRule="auto" w:before="60" w:after="0"/>
        <w:ind w:left="960" w:right="0" w:hanging="360"/>
        <w:jc w:val="left"/>
        <w:rPr>
          <w:sz w:val="24"/>
        </w:rPr>
      </w:pPr>
      <w:r>
        <w:rPr>
          <w:rFonts w:ascii="Arial" w:hAnsi="Arial" w:cs="Arial" w:eastAsia="Arial"/>
          <w:sz w:val="24"/>
        </w:rPr>
        <w:t>t</w:t>
      </w:r>
      <w:r>
        <w:rPr>
          <w:rFonts w:ascii="Arial" w:hAnsi="Arial" w:cs="Arial" w:eastAsia="Arial"/>
          <w:sz w:val="24"/>
          <w:vertAlign w:val="subscript"/>
        </w:rPr>
        <w:t>max</w:t>
      </w:r>
      <w:r>
        <w:rPr>
          <w:rFonts w:ascii="Arial" w:hAnsi="Arial" w:cs="Arial" w:eastAsia="Arial"/>
          <w:sz w:val="24"/>
          <w:vertAlign w:val="baseline"/>
        </w:rPr>
        <w:tab/>
        <w:t>time to reach C</w:t>
      </w:r>
      <w:r>
        <w:rPr>
          <w:rFonts w:ascii="Arial" w:hAnsi="Arial" w:cs="Arial" w:eastAsia="Arial"/>
          <w:sz w:val="24"/>
          <w:vertAlign w:val="subscript"/>
        </w:rPr>
        <w:t>max</w:t>
      </w:r>
      <w:r>
        <w:rPr>
          <w:rFonts w:ascii="Arial" w:hAnsi="Arial" w:cs="Arial" w:eastAsia="Arial"/>
          <w:sz w:val="24"/>
          <w:vertAlign w:val="baseline"/>
        </w:rPr>
        <w:t xml:space="preserve">  following drug</w:t>
      </w:r>
      <w:r>
        <w:rPr>
          <w:rFonts w:ascii="Arial" w:hAnsi="Arial" w:cs="Arial" w:eastAsia="Arial"/>
          <w:spacing w:val="-7"/>
          <w:sz w:val="24"/>
          <w:vertAlign w:val="baseline"/>
        </w:rPr>
        <w:t xml:space="preserve">  </w:t>
      </w:r>
      <w:r>
        <w:rPr>
          <w:rFonts w:ascii="Arial" w:hAnsi="Arial" w:cs="Arial" w:eastAsia="Arial"/>
          <w:sz w:val="24"/>
          <w:vertAlign w:val="baseline"/>
        </w:rPr>
        <w:t xml:space="preserve">  administration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40"/>
        <w:ind w:left="240" w:right="255"/>
      </w:pPr>
      <w:r>
        <w:rPr>
          <w:rFonts w:ascii="Arial" w:hAnsi="Arial" w:cs="Arial" w:eastAsia="Arial"/>
        </w:rPr>
        <w:t>The PK of E2730 will be analyzed based on available data from this study. The PK and PD Analysis datasets will be used to evaluate the relationship of PK of E2730 and change in PPR response. The PK-PD analyses may include the examination of the relationship of PK of E2730 and PPR response (eg, time of onset, maximum change, and duration of PPR; Bond and Lader data) using model-based approaches.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tabs>
          <w:tab w:pos="2507" w:val="left" w:leader="none"/>
        </w:tabs>
        <w:ind w:left="240"/>
      </w:pPr>
      <w:r>
        <w:rPr>
          <w:rFonts w:ascii="Arial" w:hAnsi="Arial" w:cs="Arial" w:eastAsia="Arial"/>
        </w:rPr>
        <w:t>Analysis</w:t>
      </w:r>
      <w:r>
        <w:rPr>
          <w:rFonts w:ascii="Arial" w:hAnsi="Arial" w:cs="Arial" w:eastAsia="Arial"/>
          <w:spacing w:val="-3"/>
        </w:rPr>
        <w:t xml:space="preserve">  </w:t>
      </w:r>
      <w:r>
        <w:rPr>
          <w:rFonts w:ascii="Arial" w:hAnsi="Arial" w:cs="Arial" w:eastAsia="Arial"/>
        </w:rPr>
        <w:t xml:space="preserve">  variables:</w:t>
        <w:tab/>
        <w:t>Plasma concentrations of E2730 and </w:t>
      </w:r>
      <w:r>
        <w:rPr>
          <w:rFonts w:ascii="Arial" w:hAnsi="Arial" w:cs="Arial" w:eastAsia="Arial"/>
          <w:i/>
        </w:rPr>
        <w:t>N</w:t>
      </w:r>
      <w:r>
        <w:rPr>
          <w:rFonts w:ascii="Arial" w:hAnsi="Arial" w:cs="Arial" w:eastAsia="Arial"/>
        </w:rPr>
        <w:t>-acetyl metabolite</w:t>
      </w:r>
      <w:r>
        <w:rPr>
          <w:rFonts w:ascii="Arial" w:hAnsi="Arial" w:cs="Arial" w:eastAsia="Arial"/>
          <w:spacing w:val="-9"/>
        </w:rPr>
        <w:t xml:space="preserve">  </w:t>
      </w:r>
      <w:r>
        <w:rPr>
          <w:rFonts w:ascii="Arial" w:hAnsi="Arial" w:cs="Arial" w:eastAsia="Arial"/>
        </w:rPr>
        <w:t xml:space="preserve">  (M1)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tabs>
          <w:tab w:pos="2507" w:val="left" w:leader="none"/>
        </w:tabs>
        <w:ind w:left="2508" w:right="344" w:hanging="2268"/>
        <w:jc w:val="both"/>
      </w:pPr>
      <w:r>
        <w:rPr>
          <w:rFonts w:ascii="Arial" w:hAnsi="Arial" w:cs="Arial" w:eastAsia="Arial"/>
        </w:rPr>
        <w:t>Analysis</w:t>
      </w:r>
      <w:r>
        <w:rPr>
          <w:rFonts w:ascii="Arial" w:hAnsi="Arial" w:cs="Arial" w:eastAsia="Arial"/>
          <w:spacing w:val="-2"/>
        </w:rPr>
        <w:t xml:space="preserve">  </w:t>
      </w:r>
      <w:r>
        <w:rPr>
          <w:rFonts w:ascii="Arial" w:hAnsi="Arial" w:cs="Arial" w:eastAsia="Arial"/>
        </w:rPr>
        <w:t xml:space="preserve">  set:</w:t>
        <w:tab/>
        <w:t>The Pharmacokinetic Analysis Set will be used for individual plasma concentration listings and summaries of plasma</w:t>
      </w:r>
      <w:r>
        <w:rPr>
          <w:rFonts w:ascii="Arial" w:hAnsi="Arial" w:cs="Arial" w:eastAsia="Arial"/>
          <w:spacing w:val="-17"/>
        </w:rPr>
        <w:t xml:space="preserve">  </w:t>
      </w:r>
      <w:r>
        <w:rPr>
          <w:rFonts w:ascii="Arial" w:hAnsi="Arial" w:cs="Arial" w:eastAsia="Arial"/>
        </w:rPr>
        <w:t xml:space="preserve">  concentrations.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508" w:right="393" w:hanging="2268"/>
        <w:jc w:val="both"/>
      </w:pPr>
      <w:r>
        <w:rPr>
          <w:rFonts w:ascii="Arial" w:hAnsi="Arial" w:cs="Arial" w:eastAsia="Arial"/>
        </w:rPr>
        <w:t>Analysis methods: The PK of E2730 will be analyzed based on available data from this study. Plasma concentrations will be tabulated by nominal sampling time and summarized by treatment dose using summary statistics.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7"/>
        </w:numPr>
        <w:tabs>
          <w:tab w:pos="1435" w:val="left" w:leader="none"/>
          <w:tab w:pos="1436" w:val="left" w:leader="none"/>
        </w:tabs>
        <w:spacing w:line="240" w:lineRule="auto" w:before="0" w:after="0"/>
        <w:ind w:left="1435" w:right="0" w:hanging="1196"/>
        <w:jc w:val="left"/>
        <w:rPr>
          <w:rFonts w:ascii="Arial"/>
          <w:sz w:val="18"/>
        </w:rPr>
      </w:pPr>
      <w:bookmarkStart w:name="_bookmark108" w:id="293"/>
      <w:bookmarkEnd w:id="293"/>
      <w:r>
        <w:rPr>
          <w:rFonts w:ascii="Arial" w:hAnsi="Arial" w:cs="Arial" w:eastAsia="Arial"/>
        </w:rPr>
      </w:r>
      <w:bookmarkStart w:name="_bookmark108" w:id="294"/>
      <w:bookmarkEnd w:id="294"/>
      <w:r>
        <w:rPr>
          <w:rFonts w:ascii="Arial" w:hAnsi="Arial" w:cs="Arial" w:eastAsia="Arial"/>
          <w:sz w:val="22"/>
        </w:rPr>
        <w:t>P</w:t>
      </w:r>
      <w:r>
        <w:rPr>
          <w:rFonts w:ascii="Arial" w:hAnsi="Arial" w:cs="Arial" w:eastAsia="Arial"/>
          <w:sz w:val="18"/>
        </w:rPr>
        <w:t>HARMACODYNAMIC</w:t>
      </w:r>
      <w:r>
        <w:rPr>
          <w:rFonts w:ascii="Arial" w:hAnsi="Arial" w:cs="Arial" w:eastAsia="Arial"/>
          <w:sz w:val="22"/>
        </w:rPr>
        <w:t>, P</w:t>
      </w:r>
      <w:r>
        <w:rPr>
          <w:rFonts w:ascii="Arial" w:hAnsi="Arial" w:cs="Arial" w:eastAsia="Arial"/>
          <w:sz w:val="18"/>
        </w:rPr>
        <w:t>HARMACOGENOMIC</w:t>
      </w:r>
      <w:r>
        <w:rPr>
          <w:rFonts w:ascii="Arial" w:hAnsi="Arial" w:cs="Arial" w:eastAsia="Arial"/>
          <w:sz w:val="22"/>
        </w:rPr>
        <w:t>, </w:t>
      </w:r>
      <w:r>
        <w:rPr>
          <w:rFonts w:ascii="Arial" w:hAnsi="Arial" w:cs="Arial" w:eastAsia="Arial"/>
          <w:sz w:val="18"/>
        </w:rPr>
        <w:t xml:space="preserve">  AND </w:t>
      </w:r>
      <w:r>
        <w:rPr>
          <w:rFonts w:ascii="Arial" w:hAnsi="Arial" w:cs="Arial" w:eastAsia="Arial"/>
          <w:sz w:val="22"/>
        </w:rPr>
        <w:t xml:space="preserve">  O</w:t>
      </w:r>
      <w:r>
        <w:rPr>
          <w:rFonts w:ascii="Arial" w:hAnsi="Arial" w:cs="Arial" w:eastAsia="Arial"/>
          <w:sz w:val="18"/>
        </w:rPr>
        <w:t>THER </w:t>
      </w:r>
      <w:r>
        <w:rPr>
          <w:rFonts w:ascii="Arial" w:hAnsi="Arial" w:cs="Arial" w:eastAsia="Arial"/>
          <w:sz w:val="22"/>
        </w:rPr>
        <w:t xml:space="preserve">  B</w:t>
      </w:r>
      <w:r>
        <w:rPr>
          <w:rFonts w:ascii="Arial" w:hAnsi="Arial" w:cs="Arial" w:eastAsia="Arial"/>
          <w:sz w:val="18"/>
        </w:rPr>
        <w:t>IOMARKER</w:t>
      </w:r>
      <w:r>
        <w:rPr>
          <w:rFonts w:ascii="Arial" w:hAnsi="Arial" w:cs="Arial" w:eastAsia="Arial"/>
          <w:spacing w:val="-32"/>
          <w:sz w:val="18"/>
        </w:rPr>
        <w:t xml:space="preserve">  </w:t>
      </w:r>
      <w:r>
        <w:rPr>
          <w:rFonts w:ascii="Arial" w:hAnsi="Arial" w:cs="Arial" w:eastAsia="Arial"/>
          <w:sz w:val="22"/>
        </w:rPr>
        <w:t xml:space="preserve">  A</w:t>
      </w:r>
      <w:r>
        <w:rPr>
          <w:rFonts w:ascii="Arial" w:hAnsi="Arial" w:cs="Arial" w:eastAsia="Arial"/>
          <w:sz w:val="18"/>
        </w:rPr>
        <w:t>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pPr>
      <w:r>
        <w:rPr>
          <w:rFonts w:ascii="Arial" w:hAnsi="Arial" w:cs="Arial" w:eastAsia="Arial"/>
        </w:rPr>
        <w:t>The PD analysis will be performed on the PD Analysis Set.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34"/>
      </w:pPr>
      <w:r>
        <w:rPr>
          <w:rFonts w:ascii="Arial" w:hAnsi="Arial" w:cs="Arial" w:eastAsia="Arial"/>
        </w:rPr>
        <w:t>No multiplicity adjustments will be made. The 5 PPR measured postdose on a study day will be averaged and used for the primary endpoint. The predose PPR data from the respective treatment period will be used as the baseline data.</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96"/>
      </w:pPr>
      <w:r>
        <w:rPr>
          <w:rFonts w:ascii="Arial" w:hAnsi="Arial" w:cs="Arial" w:eastAsia="Arial"/>
        </w:rPr>
        <w:t>The primary and secondary endpoints of mean change from baseline of the average PPR for each E2730 dose compared with placebo in the most sensitive and different eye conditions will be performed using a mixed effects model for crossover study. The model will include treatment, period, and sequence as fixed effects, baseline (predose) measurement as a covariate, and subject nested within sequence as a random effect. Where data are normally distributed, least squares (LS) means, difference in LS means of each E2730 dose compared to placebo, and 90% CIs will be presented with no adjustments for multiplicity.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Additional analysis by graphical exploration on onset, maximum change, and duration of photosensitivity response at each dose level will be performed for all 3 eye conditions at the time course of E2730 as compared to placebo. This analysis will provide further information on the frequency and percentage of subjects with Complete Suppression, Partial Response, and No Response of PPR at each dose level of E2730 as compared to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95"/>
      </w:pPr>
      <w:r>
        <w:rPr>
          <w:rFonts w:ascii="Arial" w:hAnsi="Arial" w:cs="Arial" w:eastAsia="Arial"/>
        </w:rPr>
        <w:t>Sensitivity analyses for PPR may be conducted, for example, of PPR for subjects who completed Treatment Periods 1-3 versus those who are included in the PD Analysis Set. Other exploratory analyses may be conducted as data permit. All PD data (Bond and Lader) will be listed and summarized by treatment, as appropriate, using standard summary statistics. Descriptive summary statistics (eg, mean, SD, median, minimum, and maximum</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927"/>
      </w:pPr>
      <w:r>
        <w:rPr>
          <w:rFonts w:ascii="Arial" w:hAnsi="Arial" w:cs="Arial" w:eastAsia="Arial"/>
        </w:rPr>
        <w:t>for continuous variables, and the number and percent for categorical variables) of</w:t>
      </w:r>
      <w:r>
        <w:rPr>
          <w:rFonts w:ascii="Arial" w:hAnsi="Arial" w:cs="Arial" w:eastAsia="Arial"/>
          <w:spacing w:val="-10"/>
        </w:rPr>
        <w:t xml:space="preserve">  </w:t>
      </w:r>
      <w:r>
        <w:rPr>
          <w:rFonts w:ascii="Arial" w:hAnsi="Arial" w:cs="Arial" w:eastAsia="Arial"/>
        </w:rPr>
        <w:t xml:space="preserve">  each endpoint and the changes from baseline will be</w:t>
      </w:r>
      <w:r>
        <w:rPr>
          <w:rFonts w:ascii="Arial" w:hAnsi="Arial" w:cs="Arial" w:eastAsia="Arial"/>
          <w:spacing w:val="-2"/>
        </w:rPr>
        <w:t xml:space="preserve">  </w:t>
      </w:r>
      <w:r>
        <w:rPr>
          <w:rFonts w:ascii="Arial" w:hAnsi="Arial" w:cs="Arial" w:eastAsia="Arial"/>
        </w:rPr>
        <w:t xml:space="preserve">  tabulated.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02"/>
      </w:pPr>
      <w:r>
        <w:rPr>
          <w:rFonts w:ascii="Arial" w:hAnsi="Arial" w:cs="Arial" w:eastAsia="Arial"/>
        </w:rPr>
        <w:t>PGx analyses may be performed and reported separately. Details of these analyses, if appropriate, may be described in a separate analysis</w:t>
      </w:r>
      <w:r>
        <w:rPr>
          <w:rFonts w:ascii="Arial" w:hAnsi="Arial" w:cs="Arial" w:eastAsia="Arial"/>
          <w:spacing w:val="-8"/>
        </w:rPr>
        <w:t xml:space="preserve">  </w:t>
      </w:r>
      <w:r>
        <w:rPr>
          <w:rFonts w:ascii="Arial" w:hAnsi="Arial" w:cs="Arial" w:eastAsia="Arial"/>
        </w:rPr>
        <w:t xml:space="preserve">  plan.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0" w:hanging="1200"/>
        <w:jc w:val="left"/>
        <w:rPr>
          <w:rFonts w:ascii="Arial"/>
          <w:sz w:val="22"/>
        </w:rPr>
      </w:pPr>
      <w:bookmarkStart w:name="9.7.1.8 Safety Analyses" w:id="295"/>
      <w:bookmarkEnd w:id="295"/>
      <w:r>
        <w:rPr>
          <w:rFonts w:ascii="Arial" w:hAnsi="Arial" w:cs="Arial" w:eastAsia="Arial"/>
        </w:rPr>
      </w:r>
      <w:bookmarkStart w:name="_bookmark109" w:id="296"/>
      <w:bookmarkEnd w:id="296"/>
      <w:r>
        <w:rPr>
          <w:rFonts w:ascii="Arial" w:hAnsi="Arial" w:cs="Arial" w:eastAsia="Arial"/>
        </w:rPr>
      </w:r>
      <w:bookmarkStart w:name="_bookmark109" w:id="297"/>
      <w:bookmarkEnd w:id="297"/>
      <w:r>
        <w:rPr>
          <w:rFonts w:ascii="Arial" w:hAnsi="Arial" w:cs="Arial" w:eastAsia="Arial"/>
          <w:sz w:val="22"/>
        </w:rPr>
        <w:t>Safet</w:t>
      </w:r>
      <w:r>
        <w:rPr>
          <w:rFonts w:ascii="Arial" w:hAnsi="Arial" w:cs="Arial" w:eastAsia="Arial"/>
          <w:sz w:val="22"/>
        </w:rPr>
        <w:t>y</w:t>
      </w:r>
      <w:r>
        <w:rPr>
          <w:rFonts w:ascii="Arial" w:hAnsi="Arial" w:cs="Arial" w:eastAsia="Arial"/>
          <w:spacing w:val="-2"/>
          <w:sz w:val="22"/>
        </w:rPr>
        <w:t xml:space="preserve">  </w:t>
      </w:r>
      <w:r>
        <w:rPr>
          <w:rFonts w:ascii="Arial" w:hAnsi="Arial" w:cs="Arial" w:eastAsia="Arial"/>
          <w:sz w:val="22"/>
        </w:rPr>
        <w:t xml:space="preserve">  Analyses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Evaluations of safety will be performed on the Safety Analysis Set. Safety data that will be evaluated include AEs, clinical laboratory results, vital signs, ECGs, and neurological/physical examinations. Treatment-emergent adverse events (TEAEs) will be summarized by presenting for each treatment group, the incidence of AEs.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An assessment of suicidal ideation and behavior using the C-SSRS will be performed throughout the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20"/>
      </w:pPr>
      <w:r>
        <w:rPr>
          <w:rFonts w:ascii="Arial" w:hAnsi="Arial" w:cs="Arial" w:eastAsia="Arial"/>
        </w:rPr>
        <w:t>Descriptive summary statistics (eg, mean, SD, median, minimum, and maximum for continuous variables, and the number and percent for categorical variables) of the</w:t>
      </w:r>
      <w:r>
        <w:rPr>
          <w:rFonts w:ascii="Arial" w:hAnsi="Arial" w:cs="Arial" w:eastAsia="Arial"/>
          <w:spacing w:val="-28"/>
        </w:rPr>
        <w:t xml:space="preserve">  </w:t>
      </w:r>
      <w:r>
        <w:rPr>
          <w:rFonts w:ascii="Arial" w:hAnsi="Arial" w:cs="Arial" w:eastAsia="Arial"/>
        </w:rPr>
        <w:t xml:space="preserve">  laboratory, vital signs, and ECG parameters, and changes from baseline will be evaluated by treatment group. The proportion of subjects with any treatment-emergent report of suicidal ideation and behavior and intensity of these behaviors will be</w:t>
      </w:r>
      <w:r>
        <w:rPr>
          <w:rFonts w:ascii="Arial" w:hAnsi="Arial" w:cs="Arial" w:eastAsia="Arial"/>
          <w:spacing w:val="-7"/>
        </w:rPr>
        <w:t xml:space="preserve">  </w:t>
      </w:r>
      <w:r>
        <w:rPr>
          <w:rFonts w:ascii="Arial" w:hAnsi="Arial" w:cs="Arial" w:eastAsia="Arial"/>
        </w:rPr>
        <w:t xml:space="preserve">  summarized.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5"/>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0" w:after="0"/>
        <w:ind w:left="1435" w:right="0" w:hanging="1196"/>
        <w:jc w:val="left"/>
        <w:rPr>
          <w:rFonts w:ascii="Arial"/>
          <w:sz w:val="18"/>
        </w:rPr>
      </w:pPr>
      <w:bookmarkStart w:name="_bookmark110" w:id="298"/>
      <w:bookmarkEnd w:id="298"/>
      <w:r>
        <w:rPr>
          <w:rFonts w:ascii="Arial" w:hAnsi="Arial" w:cs="Arial" w:eastAsia="Arial"/>
        </w:rPr>
      </w:r>
      <w:bookmarkStart w:name="_bookmark110" w:id="299"/>
      <w:bookmarkEnd w:id="299"/>
      <w:r>
        <w:rPr>
          <w:rFonts w:ascii="Arial" w:hAnsi="Arial" w:cs="Arial" w:eastAsia="Arial"/>
          <w:sz w:val="22"/>
        </w:rPr>
        <w:t>E</w:t>
      </w:r>
      <w:r>
        <w:rPr>
          <w:rFonts w:ascii="Arial" w:hAnsi="Arial" w:cs="Arial" w:eastAsia="Arial"/>
          <w:sz w:val="18"/>
        </w:rPr>
        <w:t>XTENT OF</w:t>
      </w:r>
      <w:r>
        <w:rPr>
          <w:rFonts w:ascii="Arial" w:hAnsi="Arial" w:cs="Arial" w:eastAsia="Arial"/>
          <w:spacing w:val="-3"/>
          <w:sz w:val="18"/>
        </w:rPr>
        <w:t xml:space="preserve">  </w:t>
      </w:r>
      <w:r>
        <w:rPr>
          <w:rFonts w:ascii="Arial" w:hAnsi="Arial" w:cs="Arial" w:eastAsia="Arial"/>
          <w:sz w:val="22"/>
        </w:rPr>
        <w:t xml:space="preserve">  E</w:t>
      </w:r>
      <w:r>
        <w:rPr>
          <w:rFonts w:ascii="Arial" w:hAnsi="Arial" w:cs="Arial" w:eastAsia="Arial"/>
          <w:sz w:val="18"/>
        </w:rPr>
        <w:t>XPOSURE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5"/>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pPr>
      <w:r>
        <w:rPr>
          <w:rFonts w:ascii="Arial" w:hAnsi="Arial" w:cs="Arial" w:eastAsia="Arial"/>
        </w:rPr>
        <w:t>Extent of exposure will be presented by dose level.</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1" w:after="0"/>
        <w:ind w:left="1435" w:right="0" w:hanging="1196"/>
        <w:jc w:val="left"/>
        <w:rPr>
          <w:rFonts w:ascii="Arial"/>
          <w:sz w:val="18"/>
        </w:rPr>
      </w:pPr>
      <w:bookmarkStart w:name="_bookmark111" w:id="300"/>
      <w:bookmarkEnd w:id="300"/>
      <w:r>
        <w:rPr>
          <w:rFonts w:ascii="Arial" w:hAnsi="Arial" w:cs="Arial" w:eastAsia="Arial"/>
        </w:rPr>
      </w:r>
      <w:bookmarkStart w:name="_bookmark111" w:id="301"/>
      <w:bookmarkEnd w:id="301"/>
      <w:r>
        <w:rPr>
          <w:rFonts w:ascii="Arial" w:hAnsi="Arial" w:cs="Arial" w:eastAsia="Arial"/>
          <w:sz w:val="22"/>
        </w:rPr>
        <w:t>A</w:t>
      </w:r>
      <w:r>
        <w:rPr>
          <w:rFonts w:ascii="Arial" w:hAnsi="Arial" w:cs="Arial" w:eastAsia="Arial"/>
          <w:sz w:val="18"/>
        </w:rPr>
        <w:t>DVERSE</w:t>
      </w:r>
      <w:r>
        <w:rPr>
          <w:rFonts w:ascii="Arial" w:hAnsi="Arial" w:cs="Arial" w:eastAsia="Arial"/>
          <w:spacing w:val="-1"/>
          <w:sz w:val="18"/>
        </w:rPr>
        <w:t xml:space="preserve">  </w:t>
      </w:r>
      <w:r>
        <w:rPr>
          <w:rFonts w:ascii="Arial" w:hAnsi="Arial" w:cs="Arial" w:eastAsia="Arial"/>
          <w:sz w:val="22"/>
        </w:rPr>
        <w:t xml:space="preserve">  E</w:t>
      </w:r>
      <w:r>
        <w:rPr>
          <w:rFonts w:ascii="Arial" w:hAnsi="Arial" w:cs="Arial" w:eastAsia="Arial"/>
          <w:sz w:val="18"/>
        </w:rPr>
        <w:t>VENTS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The AE verbatim descriptions (investigator terms from the CRF) will be classified into standardized medical terminology using the Medical Dictionary for Regulatory Activities (MedDRA). AEs will be coded to the MedDRA (Version 20.0 or higher) lower level term (LLT) closest to the verbatim term. The linked MedDRA PT and primary system organ class (SOC) are also captured in the database.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1342"/>
      </w:pPr>
      <w:r>
        <w:rPr>
          <w:rFonts w:ascii="Arial" w:hAnsi="Arial" w:cs="Arial" w:eastAsia="Arial"/>
        </w:rPr>
        <w:t>A TEAE is defined as an AE that emerges during treatment, having been absent at pretreatment (Baseline) or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8"/>
        </w:numPr>
        <w:tabs>
          <w:tab w:pos="959" w:val="left" w:leader="none"/>
          <w:tab w:pos="960" w:val="left" w:leader="none"/>
        </w:tabs>
        <w:spacing w:line="240" w:lineRule="auto" w:before="60" w:after="0"/>
        <w:ind w:left="960" w:right="860" w:hanging="360"/>
        <w:jc w:val="left"/>
        <w:rPr>
          <w:sz w:val="24"/>
        </w:rPr>
      </w:pPr>
      <w:r>
        <w:rPr>
          <w:rFonts w:ascii="Arial" w:hAnsi="Arial" w:cs="Arial" w:eastAsia="Arial"/>
          <w:sz w:val="24"/>
        </w:rPr>
        <w:t>Reemerges during treatment, having been present at pretreatment (Baseline) but stopped before treatment,</w:t>
      </w:r>
      <w:r>
        <w:rPr>
          <w:rFonts w:ascii="Arial" w:hAnsi="Arial" w:cs="Arial" w:eastAsia="Arial"/>
          <w:spacing w:val="-3"/>
          <w:sz w:val="24"/>
        </w:rPr>
        <w:t xml:space="preserve">  </w:t>
      </w:r>
      <w:r>
        <w:rPr>
          <w:rFonts w:ascii="Arial" w:hAnsi="Arial" w:cs="Arial" w:eastAsia="Arial"/>
          <w:sz w:val="24"/>
        </w:rPr>
        <w:t xml:space="preserve">  or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8"/>
        </w:numPr>
        <w:tabs>
          <w:tab w:pos="959" w:val="left" w:leader="none"/>
          <w:tab w:pos="960" w:val="left" w:leader="none"/>
        </w:tabs>
        <w:spacing w:line="240" w:lineRule="auto" w:before="60" w:after="0"/>
        <w:ind w:left="960" w:right="456" w:hanging="360"/>
        <w:jc w:val="left"/>
        <w:rPr>
          <w:sz w:val="24"/>
        </w:rPr>
      </w:pPr>
      <w:r>
        <w:rPr>
          <w:rFonts w:ascii="Arial" w:hAnsi="Arial" w:cs="Arial" w:eastAsia="Arial"/>
          <w:sz w:val="24"/>
        </w:rPr>
        <w:t>Worsens in severity during treatment relative to the pretreatment state, when the</w:t>
      </w:r>
      <w:r>
        <w:rPr>
          <w:rFonts w:ascii="Arial" w:hAnsi="Arial" w:cs="Arial" w:eastAsia="Arial"/>
          <w:spacing w:val="-17"/>
          <w:sz w:val="24"/>
        </w:rPr>
        <w:t xml:space="preserve">  </w:t>
      </w:r>
      <w:r>
        <w:rPr>
          <w:rFonts w:ascii="Arial" w:hAnsi="Arial" w:cs="Arial" w:eastAsia="Arial"/>
          <w:sz w:val="24"/>
        </w:rPr>
        <w:t xml:space="preserve">  AE is continuous.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0"/>
        <w:ind w:left="240" w:right="580"/>
      </w:pPr>
      <w:r>
        <w:rPr>
          <w:rFonts w:ascii="Arial" w:hAnsi="Arial" w:cs="Arial" w:eastAsia="Arial"/>
        </w:rPr>
        <w:t>Only those AEs that are treatment-emergent will be included in summary tables. All AEs, treatment-emergent or otherwise, will be presented in subject data listings.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The TEAEs will be summarized by treatment group, using the Safety Analysis Set. The incidence of TEAEs will be reported as the number (percentage) of subjects with TEAEs by SOC and PT. A subject will be counted only once within an SOC and PT, even if the subject experienced more than 1 TEAE within a specific SOC and PT. The number (percentage) of</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748"/>
      </w:pPr>
      <w:r>
        <w:rPr>
          <w:rFonts w:ascii="Arial" w:hAnsi="Arial" w:cs="Arial" w:eastAsia="Arial"/>
        </w:rPr>
        <w:t>subjects with TEAEs will also be summarized by maximum severity (mild, moderate, or severe).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44"/>
        <w:jc w:val="both"/>
      </w:pPr>
      <w:r>
        <w:rPr>
          <w:rFonts w:ascii="Arial" w:hAnsi="Arial" w:cs="Arial" w:eastAsia="Arial"/>
        </w:rPr>
        <w:t>The number (percentage) of subjects with TEAEs will also be summarized by relationship to study drug (Yes [related] and No [not related]). A subject data listing of all SAEs, including deaths, will be provided.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0" w:after="0"/>
        <w:ind w:left="1435" w:right="0" w:hanging="1196"/>
        <w:jc w:val="left"/>
        <w:rPr>
          <w:rFonts w:ascii="Arial"/>
          <w:sz w:val="18"/>
        </w:rPr>
      </w:pPr>
      <w:bookmarkStart w:name="_bookmark112" w:id="302"/>
      <w:bookmarkEnd w:id="302"/>
      <w:r>
        <w:rPr>
          <w:rFonts w:ascii="Arial" w:hAnsi="Arial" w:cs="Arial" w:eastAsia="Arial"/>
        </w:rPr>
      </w:r>
      <w:bookmarkStart w:name="_bookmark112" w:id="303"/>
      <w:bookmarkEnd w:id="303"/>
      <w:r>
        <w:rPr>
          <w:rFonts w:ascii="Arial" w:hAnsi="Arial" w:cs="Arial" w:eastAsia="Arial"/>
          <w:sz w:val="22"/>
        </w:rPr>
        <w:t>L</w:t>
      </w:r>
      <w:r>
        <w:rPr>
          <w:rFonts w:ascii="Arial" w:hAnsi="Arial" w:cs="Arial" w:eastAsia="Arial"/>
          <w:sz w:val="18"/>
        </w:rPr>
        <w:t>ABORATORY</w:t>
      </w:r>
      <w:r>
        <w:rPr>
          <w:rFonts w:ascii="Arial" w:hAnsi="Arial" w:cs="Arial" w:eastAsia="Arial"/>
          <w:spacing w:val="-1"/>
          <w:sz w:val="18"/>
        </w:rPr>
        <w:t xml:space="preserve">  </w:t>
      </w:r>
      <w:r>
        <w:rPr>
          <w:rFonts w:ascii="Arial" w:hAnsi="Arial" w:cs="Arial" w:eastAsia="Arial"/>
          <w:sz w:val="22"/>
        </w:rPr>
        <w:t xml:space="preserve">  V</w:t>
      </w:r>
      <w:r>
        <w:rPr>
          <w:rFonts w:ascii="Arial" w:hAnsi="Arial" w:cs="Arial" w:eastAsia="Arial"/>
          <w:sz w:val="18"/>
        </w:rPr>
        <w:t>ALUES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Laboratory results will be summarized using Système International (SI) units, as appropriate. For all quantitative parameters listed in </w:t>
      </w:r>
      <w:r>
        <w:rPr>
          <w:rFonts w:ascii="Arial" w:hAnsi="Arial" w:cs="Arial" w:eastAsia="Arial"/>
          <w:color w:val="3232FF"/>
        </w:rPr>
        <w:t xml:space="preserve">  Section </w:t>
      </w:r>
      <w:hyperlink w:history="true" w:anchor="_bookmark69">
        <w:r>
          <w:rPr>
            <w:rFonts w:ascii="Arial" w:hAnsi="Arial" w:cs="Arial" w:eastAsia="Arial"/>
            <w:color w:val="0000FF"/>
          </w:rPr>
          <w:t xml:space="preserve">  9.5.1.5.3</w:t>
        </w:r>
      </w:hyperlink>
      <w:r>
        <w:rPr>
          <w:rFonts w:ascii="Arial" w:hAnsi="Arial" w:cs="Arial" w:eastAsia="Arial"/>
        </w:rPr>
        <w:t>, the actual value and the change from baseline to each postbaseline visit and to the end of treatment (defined as the last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on-treatment value) will be summarized by visit and treatment group using descriptive statistics. Qualitative parameters listed in </w:t>
      </w:r>
      <w:r>
        <w:rPr>
          <w:rFonts w:ascii="Arial" w:hAnsi="Arial" w:cs="Arial" w:eastAsia="Arial"/>
          <w:color w:val="3232FF"/>
        </w:rPr>
        <w:t xml:space="preserve">  Section </w:t>
      </w:r>
      <w:hyperlink w:history="true" w:anchor="_bookmark69">
        <w:r>
          <w:rPr>
            <w:rFonts w:ascii="Arial" w:hAnsi="Arial" w:cs="Arial" w:eastAsia="Arial"/>
            <w:color w:val="0000FF"/>
          </w:rPr>
          <w:t xml:space="preserve">  9.5.1.5.3</w:t>
        </w:r>
      </w:hyperlink>
      <w:r>
        <w:rPr>
          <w:rFonts w:ascii="Arial" w:hAnsi="Arial" w:cs="Arial" w:eastAsia="Arial"/>
          <w:color w:val="0000FF"/>
        </w:rPr>
        <w:t xml:space="preserve">  </w:t>
      </w:r>
      <w:r>
        <w:rPr>
          <w:rFonts w:ascii="Arial" w:hAnsi="Arial" w:cs="Arial" w:eastAsia="Arial"/>
        </w:rPr>
        <w:t xml:space="preserve">  will be summarized using frequencies (number and percentage of subjects), and changes from baseline to each postbaseline visit and to end of treatment will be reported using shift tables. Percentages will be based on the number of subjects with both nonmissing baseline and relevant postbaseline results.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69"/>
      </w:pPr>
      <w:r>
        <w:rPr>
          <w:rFonts w:ascii="Arial" w:hAnsi="Arial" w:cs="Arial" w:eastAsia="Arial"/>
        </w:rPr>
        <w:t>Laboratory test results will be assigned a low/normal/high (LNH) classification according to whether the value was below (L), within (N), or above (H) the laboratory parameter’s reference range. Within-treatment comparisons for each laboratory parameter will be based on 3-by-3 tables (shift tables) that compare the baseline LNH classification to the LNH classification at each postbaseline visit and at the end of treatment. Similar shift tables will also compare the baseline LNH classification to the LNH classification for the highest and lowest value during the treatment period.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02"/>
      </w:pPr>
      <w:hyperlink w:history="true" w:anchor="_bookmark135">
        <w:r>
          <w:rPr>
            <w:rFonts w:ascii="Arial" w:hAnsi="Arial" w:cs="Arial" w:eastAsia="Arial"/>
            <w:color w:val="0000FF"/>
          </w:rPr>
          <w:t>Appendix 1</w:t>
        </w:r>
      </w:hyperlink>
      <w:r>
        <w:rPr>
          <w:rFonts w:ascii="Arial" w:hAnsi="Arial" w:cs="Arial" w:eastAsia="Arial"/>
          <w:color w:val="0000FF"/>
        </w:rPr>
        <w:t xml:space="preserve">  </w:t>
      </w:r>
      <w:r>
        <w:rPr>
          <w:rFonts w:ascii="Arial" w:hAnsi="Arial" w:cs="Arial" w:eastAsia="Arial"/>
        </w:rPr>
        <w:t xml:space="preserve">  (Sponsor’s Grading for Laboratory Values) presents the criteria that will be used to identify subjects with treatment-emergent markedly abnormal laboratory values (TEMAVs). Except for phosphate, a TEMAV is defined as a postbaseline value with an increase from baseline to a grade of 2 or higher. For phosphate, a TEMAV was defined as a postbaseline value with an increase from baseline to a grade of 3 or higher. When displaying the incidence of TEMAVs, each subject may be counted once in the laboratory parameter high and in the laboratory parameter low categories, as applicable.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0" w:after="0"/>
        <w:ind w:left="1435" w:right="0" w:hanging="1196"/>
        <w:jc w:val="left"/>
        <w:rPr>
          <w:rFonts w:ascii="Arial"/>
          <w:sz w:val="18"/>
        </w:rPr>
      </w:pPr>
      <w:bookmarkStart w:name="_bookmark113" w:id="304"/>
      <w:bookmarkEnd w:id="304"/>
      <w:r>
        <w:rPr>
          <w:rFonts w:ascii="Arial" w:hAnsi="Arial" w:cs="Arial" w:eastAsia="Arial"/>
        </w:rPr>
      </w:r>
      <w:bookmarkStart w:name="_bookmark113" w:id="305"/>
      <w:bookmarkEnd w:id="305"/>
      <w:r>
        <w:rPr>
          <w:rFonts w:ascii="Arial" w:hAnsi="Arial" w:cs="Arial" w:eastAsia="Arial"/>
          <w:sz w:val="22"/>
        </w:rPr>
        <w:t>V</w:t>
      </w:r>
      <w:r>
        <w:rPr>
          <w:rFonts w:ascii="Arial" w:hAnsi="Arial" w:cs="Arial" w:eastAsia="Arial"/>
          <w:sz w:val="18"/>
        </w:rPr>
        <w:t>ITAL</w:t>
      </w:r>
      <w:r>
        <w:rPr>
          <w:rFonts w:ascii="Arial" w:hAnsi="Arial" w:cs="Arial" w:eastAsia="Arial"/>
          <w:spacing w:val="-2"/>
          <w:sz w:val="18"/>
        </w:rPr>
        <w:t xml:space="preserve">  </w:t>
      </w:r>
      <w:r>
        <w:rPr>
          <w:rFonts w:ascii="Arial" w:hAnsi="Arial" w:cs="Arial" w:eastAsia="Arial"/>
          <w:sz w:val="22"/>
        </w:rPr>
        <w:t xml:space="preserve">  S</w:t>
      </w:r>
      <w:r>
        <w:rPr>
          <w:rFonts w:ascii="Arial" w:hAnsi="Arial" w:cs="Arial" w:eastAsia="Arial"/>
          <w:sz w:val="18"/>
        </w:rPr>
        <w:t>IGNS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Descriptive statistics for vital signs parameters (ie, systolic and diastolic BP, pulse, respiratory rate, and temperature) and changes from baseline will be presented by visit and treatment group.</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0" w:after="0"/>
        <w:ind w:left="1435" w:right="0" w:hanging="1196"/>
        <w:jc w:val="left"/>
        <w:rPr>
          <w:rFonts w:ascii="Arial"/>
          <w:sz w:val="18"/>
        </w:rPr>
      </w:pPr>
      <w:bookmarkStart w:name="_bookmark114" w:id="306"/>
      <w:bookmarkEnd w:id="306"/>
      <w:r>
        <w:rPr>
          <w:rFonts w:ascii="Arial" w:hAnsi="Arial" w:cs="Arial" w:eastAsia="Arial"/>
        </w:rPr>
      </w:r>
      <w:bookmarkStart w:name="_bookmark114" w:id="307"/>
      <w:bookmarkEnd w:id="307"/>
      <w:r>
        <w:rPr>
          <w:rFonts w:ascii="Arial" w:hAnsi="Arial" w:cs="Arial" w:eastAsia="Arial"/>
          <w:sz w:val="22"/>
        </w:rPr>
        <w:t>E</w:t>
      </w:r>
      <w:r>
        <w:rPr>
          <w:rFonts w:ascii="Arial" w:hAnsi="Arial" w:cs="Arial" w:eastAsia="Arial"/>
          <w:sz w:val="18"/>
        </w:rPr>
        <w:t>LECTROCARDIOGRAMS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642"/>
      </w:pPr>
      <w:r>
        <w:rPr>
          <w:rFonts w:ascii="Arial" w:hAnsi="Arial" w:cs="Arial" w:eastAsia="Arial"/>
        </w:rPr>
        <w:t>Descriptive statistics for ECG parameters and changes from baseline will be presented by visit and treatment group.</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309"/>
      </w:pPr>
      <w:r>
        <w:rPr>
          <w:rFonts w:ascii="Arial" w:hAnsi="Arial" w:cs="Arial" w:eastAsia="Arial"/>
        </w:rPr>
        <w:t>Shift tables will present changes from baseline in ECG interpretation (categorized as normal; abnormal, not clinically significant; and abnormal, clinically significant) to end of treatment.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pPr>
      <w:r>
        <w:rPr>
          <w:rFonts w:ascii="Arial" w:hAnsi="Arial" w:cs="Arial" w:eastAsia="Arial"/>
        </w:rPr>
        <w:t>In addition, the number (percentage) of subjects with at least 1 postbaseline abnormal ECG result in QTc Fridericia during the treatment period will be summarized. Clinically abnormal ECG results in QTc Fridericia will be categorized as follows: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8"/>
        </w:numPr>
        <w:tabs>
          <w:tab w:pos="959" w:val="left" w:leader="none"/>
          <w:tab w:pos="960" w:val="left" w:leader="none"/>
        </w:tabs>
        <w:spacing w:line="240" w:lineRule="auto" w:before="1" w:after="0"/>
        <w:ind w:left="960" w:right="699" w:hanging="360"/>
        <w:jc w:val="left"/>
        <w:rPr>
          <w:sz w:val="24"/>
        </w:rPr>
      </w:pPr>
      <w:r>
        <w:rPr>
          <w:rFonts w:ascii="Arial" w:hAnsi="Arial" w:cs="Arial" w:eastAsia="Arial"/>
          <w:sz w:val="24"/>
        </w:rPr>
        <w:t>For the QT interval assessment, clinically abnormal ECG results for QT interval corrected for heart rate using Fridericia’s formula (QTcF) will be categorized as follows: QTcF values &gt;450 msec, &gt;480 msec, and &gt;500 msec, and time-matched change from baseline in QTcF &gt;30 msec and &gt;60</w:t>
      </w:r>
      <w:r>
        <w:rPr>
          <w:rFonts w:ascii="Arial" w:hAnsi="Arial" w:cs="Arial" w:eastAsia="Arial"/>
          <w:spacing w:val="-7"/>
          <w:sz w:val="24"/>
        </w:rPr>
        <w:t xml:space="preserve">  </w:t>
      </w:r>
      <w:r>
        <w:rPr>
          <w:rFonts w:ascii="Arial" w:hAnsi="Arial" w:cs="Arial" w:eastAsia="Arial"/>
          <w:sz w:val="24"/>
        </w:rPr>
        <w:t xml:space="preserve">  msec.</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0" w:after="0"/>
        <w:ind w:left="1435" w:right="0" w:hanging="1196"/>
        <w:jc w:val="left"/>
        <w:rPr>
          <w:rFonts w:ascii="Arial"/>
          <w:sz w:val="18"/>
        </w:rPr>
      </w:pPr>
      <w:bookmarkStart w:name="_bookmark115" w:id="308"/>
      <w:bookmarkEnd w:id="308"/>
      <w:r>
        <w:rPr>
          <w:rFonts w:ascii="Arial" w:hAnsi="Arial" w:cs="Arial" w:eastAsia="Arial"/>
        </w:rPr>
      </w:r>
      <w:bookmarkStart w:name="_bookmark115" w:id="309"/>
      <w:bookmarkEnd w:id="309"/>
      <w:r>
        <w:rPr>
          <w:rFonts w:ascii="Arial" w:hAnsi="Arial" w:cs="Arial" w:eastAsia="Arial"/>
          <w:sz w:val="22"/>
        </w:rPr>
        <w:t>O</w:t>
      </w:r>
      <w:r>
        <w:rPr>
          <w:rFonts w:ascii="Arial" w:hAnsi="Arial" w:cs="Arial" w:eastAsia="Arial"/>
          <w:sz w:val="18"/>
        </w:rPr>
        <w:t>THER </w:t>
      </w:r>
      <w:r>
        <w:rPr>
          <w:rFonts w:ascii="Arial" w:hAnsi="Arial" w:cs="Arial" w:eastAsia="Arial"/>
          <w:sz w:val="22"/>
        </w:rPr>
        <w:t xml:space="preserve">  S</w:t>
      </w:r>
      <w:r>
        <w:rPr>
          <w:rFonts w:ascii="Arial" w:hAnsi="Arial" w:cs="Arial" w:eastAsia="Arial"/>
          <w:sz w:val="18"/>
        </w:rPr>
        <w:t>AFETY</w:t>
      </w:r>
      <w:r>
        <w:rPr>
          <w:rFonts w:ascii="Arial" w:hAnsi="Arial" w:cs="Arial" w:eastAsia="Arial"/>
          <w:spacing w:val="-9"/>
          <w:sz w:val="18"/>
        </w:rPr>
        <w:t xml:space="preserve">  </w:t>
      </w:r>
      <w:r>
        <w:rPr>
          <w:rFonts w:ascii="Arial" w:hAnsi="Arial" w:cs="Arial" w:eastAsia="Arial"/>
          <w:sz w:val="22"/>
        </w:rPr>
        <w:t xml:space="preserve">  A</w:t>
      </w:r>
      <w:r>
        <w:rPr>
          <w:rFonts w:ascii="Arial" w:hAnsi="Arial" w:cs="Arial" w:eastAsia="Arial"/>
          <w:sz w:val="18"/>
        </w:rPr>
        <w:t>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Proportion</w:t>
      </w:r>
      <w:r>
        <w:rPr>
          <w:rFonts w:ascii="Arial" w:hAnsi="Arial" w:cs="Arial" w:eastAsia="Arial"/>
          <w:spacing w:val="-4"/>
        </w:rPr>
        <w:t xml:space="preserve">  </w:t>
      </w:r>
      <w:r>
        <w:rPr>
          <w:rFonts w:ascii="Arial" w:hAnsi="Arial" w:cs="Arial" w:eastAsia="Arial"/>
        </w:rPr>
        <w:t xml:space="preserve">  of</w:t>
      </w:r>
      <w:r>
        <w:rPr>
          <w:rFonts w:ascii="Arial" w:hAnsi="Arial" w:cs="Arial" w:eastAsia="Arial"/>
          <w:spacing w:val="-4"/>
        </w:rPr>
        <w:t xml:space="preserve">  </w:t>
      </w:r>
      <w:r>
        <w:rPr>
          <w:rFonts w:ascii="Arial" w:hAnsi="Arial" w:cs="Arial" w:eastAsia="Arial"/>
        </w:rPr>
        <w:t xml:space="preserve">  subjects</w:t>
      </w:r>
      <w:r>
        <w:rPr>
          <w:rFonts w:ascii="Arial" w:hAnsi="Arial" w:cs="Arial" w:eastAsia="Arial"/>
          <w:spacing w:val="-3"/>
        </w:rPr>
        <w:t xml:space="preserve">  </w:t>
      </w:r>
      <w:r>
        <w:rPr>
          <w:rFonts w:ascii="Arial" w:hAnsi="Arial" w:cs="Arial" w:eastAsia="Arial"/>
        </w:rPr>
        <w:t xml:space="preserve">  with</w:t>
      </w:r>
      <w:r>
        <w:rPr>
          <w:rFonts w:ascii="Arial" w:hAnsi="Arial" w:cs="Arial" w:eastAsia="Arial"/>
          <w:spacing w:val="-4"/>
        </w:rPr>
        <w:t xml:space="preserve">  </w:t>
      </w:r>
      <w:r>
        <w:rPr>
          <w:rFonts w:ascii="Arial" w:hAnsi="Arial" w:cs="Arial" w:eastAsia="Arial"/>
        </w:rPr>
        <w:t xml:space="preserve">  any</w:t>
      </w:r>
      <w:r>
        <w:rPr>
          <w:rFonts w:ascii="Arial" w:hAnsi="Arial" w:cs="Arial" w:eastAsia="Arial"/>
          <w:spacing w:val="-7"/>
        </w:rPr>
        <w:t xml:space="preserve">  </w:t>
      </w:r>
      <w:r>
        <w:rPr>
          <w:rFonts w:ascii="Arial" w:hAnsi="Arial" w:cs="Arial" w:eastAsia="Arial"/>
        </w:rPr>
        <w:t xml:space="preserve">  treatment-emergent</w:t>
      </w:r>
      <w:r>
        <w:rPr>
          <w:rFonts w:ascii="Arial" w:hAnsi="Arial" w:cs="Arial" w:eastAsia="Arial"/>
          <w:spacing w:val="-3"/>
        </w:rPr>
        <w:t xml:space="preserve">  </w:t>
      </w:r>
      <w:r>
        <w:rPr>
          <w:rFonts w:ascii="Arial" w:hAnsi="Arial" w:cs="Arial" w:eastAsia="Arial"/>
        </w:rPr>
        <w:t xml:space="preserve">  report</w:t>
      </w:r>
      <w:r>
        <w:rPr>
          <w:rFonts w:ascii="Arial" w:hAnsi="Arial" w:cs="Arial" w:eastAsia="Arial"/>
          <w:spacing w:val="-5"/>
        </w:rPr>
        <w:t xml:space="preserve">  </w:t>
      </w:r>
      <w:r>
        <w:rPr>
          <w:rFonts w:ascii="Arial" w:hAnsi="Arial" w:cs="Arial" w:eastAsia="Arial"/>
        </w:rPr>
        <w:t xml:space="preserve">  of</w:t>
      </w:r>
      <w:r>
        <w:rPr>
          <w:rFonts w:ascii="Arial" w:hAnsi="Arial" w:cs="Arial" w:eastAsia="Arial"/>
          <w:spacing w:val="-4"/>
        </w:rPr>
        <w:t xml:space="preserve">  </w:t>
      </w:r>
      <w:r>
        <w:rPr>
          <w:rFonts w:ascii="Arial" w:hAnsi="Arial" w:cs="Arial" w:eastAsia="Arial"/>
        </w:rPr>
        <w:t xml:space="preserve">  suicidal</w:t>
      </w:r>
      <w:r>
        <w:rPr>
          <w:rFonts w:ascii="Arial" w:hAnsi="Arial" w:cs="Arial" w:eastAsia="Arial"/>
          <w:spacing w:val="-5"/>
        </w:rPr>
        <w:t xml:space="preserve">  </w:t>
      </w:r>
      <w:r>
        <w:rPr>
          <w:rFonts w:ascii="Arial" w:hAnsi="Arial" w:cs="Arial" w:eastAsia="Arial"/>
        </w:rPr>
        <w:t xml:space="preserve">  ideation</w:t>
      </w:r>
      <w:r>
        <w:rPr>
          <w:rFonts w:ascii="Arial" w:hAnsi="Arial" w:cs="Arial" w:eastAsia="Arial"/>
          <w:spacing w:val="-3"/>
        </w:rPr>
        <w:t xml:space="preserve">  </w:t>
      </w:r>
      <w:r>
        <w:rPr>
          <w:rFonts w:ascii="Arial" w:hAnsi="Arial" w:cs="Arial" w:eastAsia="Arial"/>
        </w:rPr>
        <w:t xml:space="preserve">  and</w:t>
      </w:r>
      <w:r>
        <w:rPr>
          <w:rFonts w:ascii="Arial" w:hAnsi="Arial" w:cs="Arial" w:eastAsia="Arial"/>
          <w:spacing w:val="-4"/>
        </w:rPr>
        <w:t xml:space="preserve">  </w:t>
      </w:r>
      <w:r>
        <w:rPr>
          <w:rFonts w:ascii="Arial" w:hAnsi="Arial" w:cs="Arial" w:eastAsia="Arial"/>
        </w:rPr>
        <w:t xml:space="preserve">  behavior and intensity of these behaviors will be</w:t>
      </w:r>
      <w:r>
        <w:rPr>
          <w:rFonts w:ascii="Arial" w:hAnsi="Arial" w:cs="Arial" w:eastAsia="Arial"/>
          <w:spacing w:val="-7"/>
        </w:rPr>
        <w:t xml:space="preserve">  </w:t>
      </w:r>
      <w:r>
        <w:rPr>
          <w:rFonts w:ascii="Arial" w:hAnsi="Arial" w:cs="Arial" w:eastAsia="Arial"/>
        </w:rPr>
        <w:t xml:space="preserve">  summarized.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4"/>
        </w:numPr>
        <w:tabs>
          <w:tab w:pos="1199" w:val="left" w:leader="none"/>
          <w:tab w:pos="1200" w:val="left" w:leader="none"/>
        </w:tabs>
        <w:spacing w:line="240" w:lineRule="auto" w:before="1" w:after="0"/>
        <w:ind w:left="1200" w:right="0" w:hanging="960"/>
        <w:jc w:val="left"/>
        <w:rPr>
          <w:rFonts w:ascii="Arial"/>
          <w:sz w:val="24"/>
        </w:rPr>
      </w:pPr>
      <w:bookmarkStart w:name="9.7.2 Determination of Sample Size" w:id="310"/>
      <w:bookmarkEnd w:id="310"/>
      <w:r>
        <w:rPr>
          <w:rFonts w:ascii="Arial" w:hAnsi="Arial" w:cs="Arial" w:eastAsia="Arial"/>
        </w:rPr>
      </w:r>
      <w:bookmarkStart w:name="_bookmark116" w:id="311"/>
      <w:bookmarkEnd w:id="311"/>
      <w:r>
        <w:rPr>
          <w:rFonts w:ascii="Arial" w:hAnsi="Arial" w:cs="Arial" w:eastAsia="Arial"/>
        </w:rPr>
      </w:r>
      <w:bookmarkStart w:name="_bookmark116" w:id="312"/>
      <w:bookmarkEnd w:id="312"/>
      <w:r>
        <w:rPr>
          <w:rFonts w:ascii="Arial" w:hAnsi="Arial" w:cs="Arial" w:eastAsia="Arial"/>
          <w:sz w:val="24"/>
        </w:rPr>
        <w:t>Determinatio</w:t>
      </w:r>
      <w:r>
        <w:rPr>
          <w:rFonts w:ascii="Arial" w:hAnsi="Arial" w:cs="Arial" w:eastAsia="Arial"/>
          <w:sz w:val="24"/>
        </w:rPr>
        <w:t>n of Sample</w:t>
      </w:r>
      <w:r>
        <w:rPr>
          <w:rFonts w:ascii="Arial" w:hAnsi="Arial" w:cs="Arial" w:eastAsia="Arial"/>
          <w:spacing w:val="-3"/>
          <w:sz w:val="24"/>
        </w:rPr>
        <w:t xml:space="preserve">  </w:t>
      </w:r>
      <w:r>
        <w:rPr>
          <w:rFonts w:ascii="Arial" w:hAnsi="Arial" w:cs="Arial" w:eastAsia="Arial"/>
          <w:sz w:val="24"/>
        </w:rPr>
        <w:t xml:space="preserve">  Size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248"/>
      </w:pPr>
      <w:r>
        <w:rPr>
          <w:rFonts w:ascii="Arial" w:hAnsi="Arial" w:cs="Arial" w:eastAsia="Arial"/>
        </w:rPr>
        <w:t>Approximately 9 subjects with photosensitive epilepsy and a stable PPR will be needed to be randomized in the study in order to obtain 6 evaluable subjects. Based on a similar study in subjects with photosensitive epilepsy (NCT02564029), an estimated standard deviation of the treatment group difference of the SPR in the subject’s most sensitive eye condition is 3.62.</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423"/>
      </w:pPr>
      <w:r>
        <w:rPr>
          <w:rFonts w:ascii="Arial" w:hAnsi="Arial" w:cs="Arial" w:eastAsia="Arial"/>
        </w:rPr>
        <w:t>The width of a 90% CI of the mean group difference based on this standard deviation assumption and 6 subjects is 2.431. Therefore, a sample size of 6 would be sufficient to detect a mean group difference of 3 or larger with 90% confidence.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4"/>
        </w:numPr>
        <w:tabs>
          <w:tab w:pos="1199" w:val="left" w:leader="none"/>
          <w:tab w:pos="1200" w:val="left" w:leader="none"/>
        </w:tabs>
        <w:spacing w:line="240" w:lineRule="auto" w:before="0" w:after="0"/>
        <w:ind w:left="1200" w:right="0" w:hanging="960"/>
        <w:jc w:val="left"/>
        <w:rPr>
          <w:rFonts w:ascii="Arial"/>
          <w:sz w:val="24"/>
        </w:rPr>
      </w:pPr>
      <w:bookmarkStart w:name="9.7.3 Interim Analysis" w:id="313"/>
      <w:bookmarkEnd w:id="313"/>
      <w:r>
        <w:rPr>
          <w:rFonts w:ascii="Arial" w:hAnsi="Arial" w:cs="Arial" w:eastAsia="Arial"/>
        </w:rPr>
      </w:r>
      <w:bookmarkStart w:name="_bookmark117" w:id="314"/>
      <w:bookmarkEnd w:id="314"/>
      <w:r>
        <w:rPr>
          <w:rFonts w:ascii="Arial" w:hAnsi="Arial" w:cs="Arial" w:eastAsia="Arial"/>
        </w:rPr>
      </w:r>
      <w:bookmarkStart w:name="_bookmark117" w:id="315"/>
      <w:bookmarkEnd w:id="315"/>
      <w:r>
        <w:rPr>
          <w:rFonts w:ascii="Arial" w:hAnsi="Arial" w:cs="Arial" w:eastAsia="Arial"/>
          <w:sz w:val="24"/>
        </w:rPr>
        <w:t>Interi</w:t>
      </w:r>
      <w:r>
        <w:rPr>
          <w:rFonts w:ascii="Arial" w:hAnsi="Arial" w:cs="Arial" w:eastAsia="Arial"/>
          <w:sz w:val="24"/>
        </w:rPr>
        <w:t>m</w:t>
      </w:r>
      <w:r>
        <w:rPr>
          <w:rFonts w:ascii="Arial" w:hAnsi="Arial" w:cs="Arial" w:eastAsia="Arial"/>
          <w:spacing w:val="-2"/>
          <w:sz w:val="24"/>
        </w:rPr>
        <w:t xml:space="preserve">  </w:t>
      </w:r>
      <w:r>
        <w:rPr>
          <w:rFonts w:ascii="Arial" w:hAnsi="Arial" w:cs="Arial" w:eastAsia="Arial"/>
          <w:sz w:val="24"/>
        </w:rPr>
        <w:t xml:space="preserve">  Analysis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pPr>
      <w:r>
        <w:rPr>
          <w:rFonts w:ascii="Arial" w:hAnsi="Arial" w:cs="Arial" w:eastAsia="Arial"/>
        </w:rPr>
        <w:t>No formal interim analysis is planned.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4"/>
        </w:numPr>
        <w:tabs>
          <w:tab w:pos="1199" w:val="left" w:leader="none"/>
          <w:tab w:pos="1200" w:val="left" w:leader="none"/>
        </w:tabs>
        <w:spacing w:line="240" w:lineRule="auto" w:before="0" w:after="0"/>
        <w:ind w:left="1200" w:right="0" w:hanging="960"/>
        <w:jc w:val="left"/>
        <w:rPr>
          <w:rFonts w:ascii="Arial"/>
          <w:sz w:val="24"/>
        </w:rPr>
      </w:pPr>
      <w:bookmarkStart w:name="9.7.4 Other Statistical/Analytical Issue" w:id="316"/>
      <w:bookmarkEnd w:id="316"/>
      <w:r>
        <w:rPr>
          <w:rFonts w:ascii="Arial" w:hAnsi="Arial" w:cs="Arial" w:eastAsia="Arial"/>
        </w:rPr>
      </w:r>
      <w:bookmarkStart w:name="_bookmark118" w:id="317"/>
      <w:bookmarkEnd w:id="317"/>
      <w:r>
        <w:rPr>
          <w:rFonts w:ascii="Arial" w:hAnsi="Arial" w:cs="Arial" w:eastAsia="Arial"/>
        </w:rPr>
      </w:r>
      <w:bookmarkStart w:name="_bookmark118" w:id="318"/>
      <w:bookmarkEnd w:id="318"/>
      <w:r>
        <w:rPr>
          <w:rFonts w:ascii="Arial" w:hAnsi="Arial" w:cs="Arial" w:eastAsia="Arial"/>
          <w:sz w:val="24"/>
        </w:rPr>
        <w:t>Other</w:t>
      </w:r>
      <w:r>
        <w:rPr>
          <w:rFonts w:ascii="Arial" w:hAnsi="Arial" w:cs="Arial" w:eastAsia="Arial"/>
          <w:sz w:val="24"/>
        </w:rPr>
        <w:t xml:space="preserve">  Statistical/Analytical Issues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Pr>
          <w:i/>
        </w:rPr>
      </w:pPr>
      <w:r>
        <w:rPr>
          <w:rFonts w:ascii="Arial" w:hAnsi="Arial" w:cs="Arial" w:eastAsia="Arial"/>
        </w:rPr>
        <w:t>Not applicable</w:t>
      </w:r>
      <w:r>
        <w:rPr>
          <w:rFonts w:ascii="Arial" w:hAnsi="Arial" w:cs="Arial" w:eastAsia="Arial"/>
          <w:i/>
          <w:color w:val="009900"/>
        </w:rPr>
        <w: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i/>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4"/>
        </w:numPr>
        <w:tabs>
          <w:tab w:pos="1199" w:val="left" w:leader="none"/>
          <w:tab w:pos="1200" w:val="left" w:leader="none"/>
        </w:tabs>
        <w:spacing w:line="240" w:lineRule="auto" w:before="1" w:after="0"/>
        <w:ind w:left="1200" w:right="0" w:hanging="960"/>
        <w:jc w:val="left"/>
        <w:rPr>
          <w:rFonts w:ascii="Arial"/>
          <w:sz w:val="24"/>
        </w:rPr>
      </w:pPr>
      <w:bookmarkStart w:name="9.7.5 Procedure for Revising the Statist" w:id="319"/>
      <w:bookmarkEnd w:id="319"/>
      <w:r>
        <w:rPr>
          <w:rFonts w:ascii="Arial" w:hAnsi="Arial" w:cs="Arial" w:eastAsia="Arial"/>
        </w:rPr>
      </w:r>
      <w:bookmarkStart w:name="_bookmark119" w:id="320"/>
      <w:bookmarkEnd w:id="320"/>
      <w:r>
        <w:rPr>
          <w:rFonts w:ascii="Arial" w:hAnsi="Arial" w:cs="Arial" w:eastAsia="Arial"/>
        </w:rPr>
      </w:r>
      <w:bookmarkStart w:name="_bookmark119" w:id="321"/>
      <w:bookmarkEnd w:id="321"/>
      <w:r>
        <w:rPr>
          <w:rFonts w:ascii="Arial" w:hAnsi="Arial" w:cs="Arial" w:eastAsia="Arial"/>
          <w:sz w:val="24"/>
        </w:rPr>
        <w:t>Procedure</w:t>
      </w:r>
      <w:r>
        <w:rPr>
          <w:rFonts w:ascii="Arial" w:hAnsi="Arial" w:cs="Arial" w:eastAsia="Arial"/>
          <w:sz w:val="24"/>
        </w:rPr>
        <w:t xml:space="preserve">  for Revising the Statistical Analysis</w:t>
      </w:r>
      <w:r>
        <w:rPr>
          <w:rFonts w:ascii="Arial" w:hAnsi="Arial" w:cs="Arial" w:eastAsia="Arial"/>
          <w:spacing w:val="-1"/>
          <w:sz w:val="24"/>
        </w:rPr>
        <w:t xml:space="preserve">  </w:t>
      </w:r>
      <w:r>
        <w:rPr>
          <w:rFonts w:ascii="Arial" w:hAnsi="Arial" w:cs="Arial" w:eastAsia="Arial"/>
          <w:sz w:val="24"/>
        </w:rPr>
        <w:t xml:space="preserve">  Plan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257"/>
        <w:jc w:val="both"/>
      </w:pPr>
      <w:r>
        <w:rPr>
          <w:rFonts w:ascii="Arial" w:hAnsi="Arial" w:cs="Arial" w:eastAsia="Arial"/>
        </w:rPr>
        <w:t>If the SAP needs to be revised after the study starts, the sponsor will determine how the revision impacts the study and how the revision should be implemented. The details of the revision will be documented and described in the clinical study report.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0"/>
          <w:numId w:val="29"/>
        </w:numPr>
        <w:tabs>
          <w:tab w:pos="720" w:val="left" w:leader="none"/>
        </w:tabs>
        <w:spacing w:line="240" w:lineRule="auto" w:before="84" w:after="0"/>
        <w:ind w:left="720" w:right="0" w:hanging="480"/>
        <w:jc w:val="left"/>
      </w:pPr>
      <w:bookmarkStart w:name="10 REFERENCE LIST" w:id="322"/>
      <w:bookmarkEnd w:id="322"/>
      <w:r>
        <w:rPr>
          <w:rFonts w:ascii="Arial" w:hAnsi="Arial" w:cs="Arial" w:eastAsia="Arial"/>
          <w:b w:val="0"/>
        </w:rPr>
      </w:r>
      <w:bookmarkStart w:name="_bookmark120" w:id="323"/>
      <w:bookmarkEnd w:id="323"/>
      <w:r>
        <w:rPr>
          <w:rFonts w:ascii="Arial" w:hAnsi="Arial" w:cs="Arial" w:eastAsia="Arial"/>
          <w:b w:val="0"/>
        </w:rPr>
      </w:r>
      <w:bookmarkStart w:name="_bookmark120" w:id="324"/>
      <w:bookmarkEnd w:id="324"/>
      <w:r>
        <w:rPr>
          <w:rFonts w:ascii="Arial" w:hAnsi="Arial" w:cs="Arial" w:eastAsia="Arial"/>
        </w:rPr>
        <w:t>REFERENC</w:t>
      </w:r>
      <w:r>
        <w:rPr>
          <w:rFonts w:ascii="Arial" w:hAnsi="Arial" w:cs="Arial" w:eastAsia="Arial"/>
        </w:rPr>
        <w:t>E</w:t>
      </w:r>
      <w:r>
        <w:rPr>
          <w:rFonts w:ascii="Arial" w:hAnsi="Arial" w:cs="Arial" w:eastAsia="Arial"/>
          <w:spacing w:val="-2"/>
        </w:rPr>
        <w:t xml:space="preserve">  </w:t>
      </w:r>
      <w:r>
        <w:rPr>
          <w:rFonts w:ascii="Arial" w:hAnsi="Arial" w:cs="Arial" w:eastAsia="Arial"/>
        </w:rPr>
        <w:t xml:space="preserve">  LIST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5"/>
        <w:ind w:left="240" w:right="708"/>
      </w:pPr>
      <w:r>
        <w:rPr>
          <w:rFonts w:ascii="Arial" w:hAnsi="Arial" w:cs="Arial" w:eastAsia="Arial"/>
        </w:rPr>
        <w:t>Binnie CD, van Emde Boas W, Kasteleijn-Nolste- Trenité DG, de Korte RA, Meijer JW, Meinardi H, et al. Acute effects of lamotrigine (BW430C) in persons with epilepsy.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pPr>
      <w:r>
        <w:rPr>
          <w:rFonts w:ascii="Arial" w:hAnsi="Arial" w:cs="Arial" w:eastAsia="Arial"/>
        </w:rPr>
        <w:t>Epilepsia. 1986a;27:248-54.</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521"/>
      </w:pPr>
      <w:r>
        <w:rPr>
          <w:rFonts w:ascii="Arial" w:hAnsi="Arial" w:cs="Arial" w:eastAsia="Arial"/>
        </w:rPr>
        <w:t>Binnie CD, Kasteleijn-Nolst Trenité DG, de Korte R. Photosensitivity as a model for acute antiepileptic drug studies. Electroencephalogr Clin Neurophysiol. 1986b;63:35-41.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1381"/>
      </w:pPr>
      <w:r>
        <w:rPr>
          <w:rFonts w:ascii="Arial" w:hAnsi="Arial" w:cs="Arial" w:eastAsia="Arial"/>
        </w:rPr>
        <w:t>Binnie CD. Preliminary evaluation of potential anti-epileptic drugs by single dose electrophysiological and pharmacological studies in patients. J Neural Transm.</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pPr>
      <w:r>
        <w:rPr>
          <w:rFonts w:ascii="Arial" w:hAnsi="Arial" w:cs="Arial" w:eastAsia="Arial"/>
        </w:rPr>
        <w:t>1988;72:259-66.</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955"/>
      </w:pPr>
      <w:r>
        <w:rPr>
          <w:rFonts w:ascii="Arial" w:hAnsi="Arial" w:cs="Arial" w:eastAsia="Arial"/>
        </w:rPr>
        <w:t>Bond A, Lader M. The use of analogue scales in rating subjective feelings. Br. J. med. Psychol. 1974; 47: 211-8.</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French J, Krauss G. Effect of Marketed Antiepileptic Drugs and Placebo in the Human Photosensitivity Screening Protocol. Neurotherapeutics. 2014 11:412-18</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87"/>
      </w:pPr>
      <w:r>
        <w:rPr>
          <w:rFonts w:ascii="Arial" w:hAnsi="Arial" w:cs="Arial" w:eastAsia="Arial"/>
        </w:rPr>
        <w:t>Kasteleijn-Nolst Trenité DG, Genton P, Parain D, Masnou P, Steinhoff BJ, Jacobs T, et al. Evaluation of brivaracetam, a novel SV2A ligand, in the photosensitivity model. Neurology. 2007;69:1027-34.</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35"/>
      </w:pPr>
      <w:r>
        <w:rPr>
          <w:rFonts w:ascii="Arial" w:hAnsi="Arial" w:cs="Arial" w:eastAsia="Arial"/>
        </w:rPr>
        <w:t>Kasteleijn-Nolst Trenité DG, Marescaux C, Stodieck S, Edelbroek PM, Oosting J. Photosensitive epilepsy: a model to study the effects of antiepileptic drugs. Evaluation of the piracetam analogue, levetiracetam. Epilepsy Res. 1996;25:225-30.</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69"/>
      </w:pPr>
      <w:r>
        <w:rPr>
          <w:rFonts w:ascii="Arial" w:hAnsi="Arial" w:cs="Arial" w:eastAsia="Arial"/>
        </w:rPr>
        <w:t>Löscher W, Luna-Tortós C, Römermann K, Fedrowitz M. Do ATP-binding cassette transporters cause pharmacoresistance in epilepsy? Problems and approaches in determining which antiepileptic drugs are affected. Curr Pharm Des. 2011;17(26):2808-28.</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502"/>
      </w:pPr>
      <w:r>
        <w:rPr>
          <w:rFonts w:ascii="Arial" w:hAnsi="Arial" w:cs="Arial" w:eastAsia="Arial"/>
        </w:rPr>
        <w:t>Trenité DG, French JA, Hirsch E, Macher JP, Meyer BU, Grosse PA et al. Evaluation of carisbamate, a novel antiepileptic drug, in photosensitive patients: an exploratory, placebo- controlled study. Epilepsy Res. 2007;74:193-200.</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Columbia-Suicide Severity Rating Scale (C-SSRS). Columbia University. Available from: </w:t>
      </w:r>
      <w:hyperlink r:id="rId12">
        <w:r>
          <w:rPr>
            <w:rFonts w:ascii="Arial" w:hAnsi="Arial" w:cs="Arial" w:eastAsia="Arial"/>
          </w:rPr>
          <w:t xml:space="preserve">  http://www.cssrs.columbia.edu/scales_cssrs.html</w:t>
        </w:r>
      </w:hyperlink>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0"/>
          <w:numId w:val="29"/>
        </w:numPr>
        <w:tabs>
          <w:tab w:pos="720" w:val="left" w:leader="none"/>
        </w:tabs>
        <w:spacing w:line="240" w:lineRule="auto" w:before="84" w:after="0"/>
        <w:ind w:left="720" w:right="1389" w:hanging="480"/>
        <w:jc w:val="left"/>
      </w:pPr>
      <w:bookmarkStart w:name="11 PROCEDURES AND INSTRUCTIONS (ADMINIST" w:id="325"/>
      <w:bookmarkEnd w:id="325"/>
      <w:r>
        <w:rPr>
          <w:rFonts w:ascii="Arial" w:hAnsi="Arial" w:cs="Arial" w:eastAsia="Arial"/>
          <w:b w:val="0"/>
        </w:rPr>
      </w:r>
      <w:bookmarkStart w:name="_bookmark121" w:id="326"/>
      <w:bookmarkEnd w:id="326"/>
      <w:r>
        <w:rPr>
          <w:rFonts w:ascii="Arial" w:hAnsi="Arial" w:cs="Arial" w:eastAsia="Arial"/>
          <w:b w:val="0"/>
        </w:rPr>
      </w:r>
      <w:bookmarkStart w:name="_bookmark121" w:id="327"/>
      <w:bookmarkEnd w:id="327"/>
      <w:r>
        <w:rPr>
          <w:rFonts w:ascii="Arial" w:hAnsi="Arial" w:cs="Arial" w:eastAsia="Arial"/>
        </w:rPr>
        <w:t>PROCEDURE</w:t>
      </w:r>
      <w:r>
        <w:rPr>
          <w:rFonts w:ascii="Arial" w:hAnsi="Arial" w:cs="Arial" w:eastAsia="Arial"/>
        </w:rPr>
        <w:t>S AND INSTRUCTIONS</w:t>
      </w:r>
      <w:r>
        <w:rPr>
          <w:rFonts w:ascii="Arial" w:hAnsi="Arial" w:cs="Arial" w:eastAsia="Arial"/>
          <w:spacing w:val="-15"/>
        </w:rPr>
        <w:t xml:space="preserve">  </w:t>
      </w:r>
      <w:r>
        <w:rPr>
          <w:rFonts w:ascii="Arial" w:hAnsi="Arial" w:cs="Arial" w:eastAsia="Arial"/>
        </w:rPr>
        <w:t xml:space="preserve">  (ADMINISTRATIVE PROCEDURES)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239" w:after="0"/>
        <w:ind w:left="960" w:right="0" w:hanging="720"/>
        <w:jc w:val="left"/>
      </w:pPr>
      <w:bookmarkStart w:name="11.1 Changes to the Protocol" w:id="328"/>
      <w:bookmarkEnd w:id="328"/>
      <w:r>
        <w:rPr>
          <w:rFonts w:ascii="Arial" w:hAnsi="Arial" w:cs="Arial" w:eastAsia="Arial"/>
          <w:b w:val="0"/>
        </w:rPr>
      </w:r>
      <w:bookmarkStart w:name="_bookmark122" w:id="329"/>
      <w:bookmarkEnd w:id="329"/>
      <w:r>
        <w:rPr>
          <w:rFonts w:ascii="Arial" w:hAnsi="Arial" w:cs="Arial" w:eastAsia="Arial"/>
          <w:b w:val="0"/>
        </w:rPr>
      </w:r>
      <w:bookmarkStart w:name="_bookmark122" w:id="330"/>
      <w:bookmarkEnd w:id="330"/>
      <w:r>
        <w:rPr>
          <w:rFonts w:ascii="Arial" w:hAnsi="Arial" w:cs="Arial" w:eastAsia="Arial"/>
        </w:rPr>
        <w:t>Changes</w:t>
      </w:r>
      <w:r>
        <w:rPr>
          <w:rFonts w:ascii="Arial" w:hAnsi="Arial" w:cs="Arial" w:eastAsia="Arial"/>
        </w:rPr>
        <w:t xml:space="preserve">  to the</w:t>
      </w:r>
      <w:r>
        <w:rPr>
          <w:rFonts w:ascii="Arial" w:hAnsi="Arial" w:cs="Arial" w:eastAsia="Arial"/>
          <w:spacing w:val="-1"/>
        </w:rPr>
        <w:t xml:space="preserve">  </w:t>
      </w:r>
      <w:r>
        <w:rPr>
          <w:rFonts w:ascii="Arial" w:hAnsi="Arial" w:cs="Arial" w:eastAsia="Arial"/>
        </w:rPr>
        <w:t xml:space="preserve">  Protocol</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40" w:right="355"/>
      </w:pPr>
      <w:r>
        <w:rPr>
          <w:rFonts w:ascii="Arial" w:hAnsi="Arial" w:cs="Arial" w:eastAsia="Arial"/>
        </w:rPr>
        <w:t>Any change to the protocol requires a written protocol amendment or administrative change that must be approved by the sponsor before implementation. Amendments specifically affecting the safety of subjects, the scope of the investigation, or the scientific quality of the study require submission to health or regulatory authorities as well as additional approval by the applicable IRBs. These requirements should in no way prevent any immediate action from being taken by the investigator, or by the sponsor, in the interest of preserving the safety of all subjects included in the study. If the investigator determines that an immediate change to or deviation from the protocol is necessary for safety reasons to eliminate an immediate hazard to the subjects, the sponsor’s medical monitor and the IRB for the site must be notified immediately. The sponsor must notify the health or regulatory authority as required per local regulations.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1"/>
      </w:pPr>
      <w:r>
        <w:rPr>
          <w:rFonts w:ascii="Arial" w:hAnsi="Arial" w:cs="Arial" w:eastAsia="Arial"/>
        </w:rPr>
        <w:t>Protocol amendments that affect only administrative aspects of the study may not require submission to health or regulatory authority or the IRB, but the health or regulatory authority and IRB should be kept informed of such changes as required by local regulations. In these cases, the sponsor may be required to send a letter to the IRB and the Competent Authorities detailing such changes.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0" w:after="0"/>
        <w:ind w:left="960" w:right="0" w:hanging="720"/>
        <w:jc w:val="left"/>
      </w:pPr>
      <w:bookmarkStart w:name="11.2 Adherence to the Protocol" w:id="331"/>
      <w:bookmarkEnd w:id="331"/>
      <w:r>
        <w:rPr>
          <w:rFonts w:ascii="Arial" w:hAnsi="Arial" w:cs="Arial" w:eastAsia="Arial"/>
          <w:b w:val="0"/>
        </w:rPr>
      </w:r>
      <w:bookmarkStart w:name="_bookmark123" w:id="332"/>
      <w:bookmarkEnd w:id="332"/>
      <w:r>
        <w:rPr>
          <w:rFonts w:ascii="Arial" w:hAnsi="Arial" w:cs="Arial" w:eastAsia="Arial"/>
          <w:b w:val="0"/>
        </w:rPr>
      </w:r>
      <w:bookmarkStart w:name="_bookmark123" w:id="333"/>
      <w:bookmarkEnd w:id="333"/>
      <w:r>
        <w:rPr>
          <w:rFonts w:ascii="Arial" w:hAnsi="Arial" w:cs="Arial" w:eastAsia="Arial"/>
        </w:rPr>
        <w:t>A</w:t>
      </w:r>
      <w:r>
        <w:rPr>
          <w:rFonts w:ascii="Arial" w:hAnsi="Arial" w:cs="Arial" w:eastAsia="Arial"/>
        </w:rPr>
        <w:t>dherence to the</w:t>
      </w:r>
      <w:r>
        <w:rPr>
          <w:rFonts w:ascii="Arial" w:hAnsi="Arial" w:cs="Arial" w:eastAsia="Arial"/>
          <w:spacing w:val="-1"/>
        </w:rPr>
        <w:t xml:space="preserve">  </w:t>
      </w:r>
      <w:r>
        <w:rPr>
          <w:rFonts w:ascii="Arial" w:hAnsi="Arial" w:cs="Arial" w:eastAsia="Arial"/>
        </w:rPr>
        <w:t xml:space="preserve">  Protocol</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4"/>
        <w:ind w:left="240" w:right="1022"/>
      </w:pPr>
      <w:r>
        <w:rPr>
          <w:rFonts w:ascii="Arial" w:hAnsi="Arial" w:cs="Arial" w:eastAsia="Arial"/>
        </w:rPr>
        <w:t>The investigator will conduct the study in strict accordance with the protocol (refer to ICH E6, Section 4.5).</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0" w:after="0"/>
        <w:ind w:left="960" w:right="0" w:hanging="720"/>
        <w:jc w:val="left"/>
      </w:pPr>
      <w:bookmarkStart w:name="11.3 Monitoring Procedures" w:id="334"/>
      <w:bookmarkEnd w:id="334"/>
      <w:r>
        <w:rPr>
          <w:rFonts w:ascii="Arial" w:hAnsi="Arial" w:cs="Arial" w:eastAsia="Arial"/>
          <w:b w:val="0"/>
        </w:rPr>
      </w:r>
      <w:bookmarkStart w:name="_bookmark124" w:id="335"/>
      <w:bookmarkEnd w:id="335"/>
      <w:r>
        <w:rPr>
          <w:rFonts w:ascii="Arial" w:hAnsi="Arial" w:cs="Arial" w:eastAsia="Arial"/>
          <w:b w:val="0"/>
        </w:rPr>
      </w:r>
      <w:bookmarkStart w:name="_bookmark124" w:id="336"/>
      <w:bookmarkEnd w:id="336"/>
      <w:r>
        <w:rPr>
          <w:rFonts w:ascii="Arial" w:hAnsi="Arial" w:cs="Arial" w:eastAsia="Arial"/>
        </w:rPr>
        <w:t>Monitoring</w:t>
      </w:r>
      <w:r>
        <w:rPr>
          <w:rFonts w:ascii="Arial" w:hAnsi="Arial" w:cs="Arial" w:eastAsia="Arial"/>
          <w:spacing w:val="-1"/>
        </w:rPr>
        <w:t xml:space="preserve">  </w:t>
      </w:r>
      <w:r>
        <w:rPr>
          <w:rFonts w:ascii="Arial" w:hAnsi="Arial" w:cs="Arial" w:eastAsia="Arial"/>
        </w:rPr>
        <w:t xml:space="preserve">  Procedures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40" w:right="302"/>
      </w:pPr>
      <w:r>
        <w:rPr>
          <w:rFonts w:ascii="Arial" w:hAnsi="Arial" w:cs="Arial" w:eastAsia="Arial"/>
        </w:rPr>
        <w:t>The CRO’s CRA will maintain contact with the investigator and designated staff by telephone, letter, or email between study visits. Monitoring visits to each site will be conducted by the assigned CRA as described in the monitoring plan. The investigator will allow the CRA to inspect the clinical, laboratory, and pharmacy facilities to assure compliance with GCP and local regulatory requirements. The CRFs and subject’s corresponding original medical records (source documents) are to be fully available for review by the sponsor’s representatives at regular intervals. These reviews verify adherence to study protocol and data accuracy in accordance with local regulations. All records at the site are subject to inspection by the local auditing agency and to IRB review.</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489"/>
      </w:pPr>
      <w:r>
        <w:rPr>
          <w:rFonts w:ascii="Arial" w:hAnsi="Arial" w:cs="Arial" w:eastAsia="Arial"/>
        </w:rPr>
        <w:t>In accordance with ICH E6, Section 1.52, source documents include, but are not limited to, the following: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0" w:after="0"/>
        <w:ind w:left="960" w:right="0" w:hanging="360"/>
        <w:jc w:val="left"/>
        <w:rPr>
          <w:sz w:val="24"/>
        </w:rPr>
      </w:pPr>
      <w:r>
        <w:rPr>
          <w:rFonts w:ascii="Arial" w:hAnsi="Arial" w:cs="Arial" w:eastAsia="Arial"/>
          <w:sz w:val="24"/>
        </w:rPr>
        <w:t>Clinic, office, or hospital</w:t>
      </w:r>
      <w:r>
        <w:rPr>
          <w:rFonts w:ascii="Arial" w:hAnsi="Arial" w:cs="Arial" w:eastAsia="Arial"/>
          <w:spacing w:val="-5"/>
          <w:sz w:val="24"/>
        </w:rPr>
        <w:t xml:space="preserve">  </w:t>
      </w:r>
      <w:r>
        <w:rPr>
          <w:rFonts w:ascii="Arial" w:hAnsi="Arial" w:cs="Arial" w:eastAsia="Arial"/>
          <w:sz w:val="24"/>
        </w:rPr>
        <w:t xml:space="preserve">  charts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60" w:after="0"/>
        <w:ind w:left="960" w:right="380" w:hanging="360"/>
        <w:jc w:val="left"/>
        <w:rPr>
          <w:sz w:val="24"/>
        </w:rPr>
      </w:pPr>
      <w:r>
        <w:rPr>
          <w:rFonts w:ascii="Arial" w:hAnsi="Arial" w:cs="Arial" w:eastAsia="Arial"/>
          <w:sz w:val="24"/>
        </w:rPr>
        <w:t>Copies or transcribed health care provider notes that have been certified for accuracy after</w:t>
      </w:r>
      <w:r>
        <w:rPr>
          <w:rFonts w:ascii="Arial" w:hAnsi="Arial" w:cs="Arial" w:eastAsia="Arial"/>
          <w:spacing w:val="-2"/>
          <w:sz w:val="24"/>
        </w:rPr>
        <w:t xml:space="preserve">  </w:t>
      </w:r>
      <w:r>
        <w:rPr>
          <w:rFonts w:ascii="Arial" w:hAnsi="Arial" w:cs="Arial" w:eastAsia="Arial"/>
          <w:sz w:val="24"/>
        </w:rPr>
        <w:t xml:space="preserve">  production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80" w:after="0"/>
        <w:ind w:left="960" w:right="610" w:hanging="360"/>
        <w:jc w:val="left"/>
        <w:rPr>
          <w:sz w:val="24"/>
        </w:rPr>
      </w:pPr>
      <w:r>
        <w:rPr>
          <w:rFonts w:ascii="Arial" w:hAnsi="Arial" w:cs="Arial" w:eastAsia="Arial"/>
          <w:sz w:val="24"/>
        </w:rPr>
        <w:t>Recorded data from automated instruments such as interactive response system, x- rays, and other imaging reports (eg, sonograms, CT scans, magnetic resonance images, radioactive images, ECGs, rhythm strips, EEGs, polysomnographs, pulmonary function tests) regardless of how these images are stored, including microfiche and photographic</w:t>
      </w:r>
      <w:r>
        <w:rPr>
          <w:rFonts w:ascii="Arial" w:hAnsi="Arial" w:cs="Arial" w:eastAsia="Arial"/>
          <w:spacing w:val="-2"/>
          <w:sz w:val="24"/>
        </w:rPr>
        <w:t xml:space="preserve">  </w:t>
      </w:r>
      <w:r>
        <w:rPr>
          <w:rFonts w:ascii="Arial" w:hAnsi="Arial" w:cs="Arial" w:eastAsia="Arial"/>
          <w:sz w:val="24"/>
        </w:rPr>
        <w:t xml:space="preserve">  negatives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60" w:after="0"/>
        <w:ind w:left="960" w:right="0" w:hanging="360"/>
        <w:jc w:val="left"/>
        <w:rPr>
          <w:sz w:val="24"/>
        </w:rPr>
      </w:pPr>
      <w:r>
        <w:rPr>
          <w:rFonts w:ascii="Arial" w:hAnsi="Arial" w:cs="Arial" w:eastAsia="Arial"/>
          <w:sz w:val="24"/>
        </w:rPr>
        <w:t>Pain, quality of life, or medical history questionnaires completed by</w:t>
      </w:r>
      <w:r>
        <w:rPr>
          <w:rFonts w:ascii="Arial" w:hAnsi="Arial" w:cs="Arial" w:eastAsia="Arial"/>
          <w:spacing w:val="-14"/>
          <w:sz w:val="24"/>
        </w:rPr>
        <w:t xml:space="preserve">  </w:t>
      </w:r>
      <w:r>
        <w:rPr>
          <w:rFonts w:ascii="Arial" w:hAnsi="Arial" w:cs="Arial" w:eastAsia="Arial"/>
          <w:sz w:val="24"/>
        </w:rPr>
        <w:t xml:space="preserve">  subjects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60" w:after="0"/>
        <w:ind w:left="960" w:right="0" w:hanging="360"/>
        <w:jc w:val="left"/>
        <w:rPr>
          <w:sz w:val="24"/>
        </w:rPr>
      </w:pPr>
      <w:r>
        <w:rPr>
          <w:rFonts w:ascii="Arial" w:hAnsi="Arial" w:cs="Arial" w:eastAsia="Arial"/>
          <w:sz w:val="24"/>
        </w:rPr>
        <w:t>Records of telephone</w:t>
      </w:r>
      <w:r>
        <w:rPr>
          <w:rFonts w:ascii="Arial" w:hAnsi="Arial" w:cs="Arial" w:eastAsia="Arial"/>
          <w:spacing w:val="-3"/>
          <w:sz w:val="24"/>
        </w:rPr>
        <w:t xml:space="preserve">  </w:t>
      </w:r>
      <w:r>
        <w:rPr>
          <w:rFonts w:ascii="Arial" w:hAnsi="Arial" w:cs="Arial" w:eastAsia="Arial"/>
          <w:sz w:val="24"/>
        </w:rPr>
        <w:t xml:space="preserve">  contacts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60" w:after="0"/>
        <w:ind w:left="960" w:right="0" w:hanging="360"/>
        <w:jc w:val="left"/>
        <w:rPr>
          <w:sz w:val="24"/>
        </w:rPr>
      </w:pPr>
      <w:r>
        <w:rPr>
          <w:rFonts w:ascii="Arial" w:hAnsi="Arial" w:cs="Arial" w:eastAsia="Arial"/>
          <w:sz w:val="24"/>
        </w:rPr>
        <w:t>Diaries or evaluation</w:t>
      </w:r>
      <w:r>
        <w:rPr>
          <w:rFonts w:ascii="Arial" w:hAnsi="Arial" w:cs="Arial" w:eastAsia="Arial"/>
          <w:spacing w:val="-2"/>
          <w:sz w:val="24"/>
        </w:rPr>
        <w:t xml:space="preserve">  </w:t>
      </w:r>
      <w:r>
        <w:rPr>
          <w:rFonts w:ascii="Arial" w:hAnsi="Arial" w:cs="Arial" w:eastAsia="Arial"/>
          <w:sz w:val="24"/>
        </w:rPr>
        <w:t xml:space="preserve">  checklists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60" w:after="0"/>
        <w:ind w:left="960" w:right="649" w:hanging="360"/>
        <w:jc w:val="left"/>
        <w:rPr>
          <w:sz w:val="24"/>
        </w:rPr>
      </w:pPr>
      <w:r>
        <w:rPr>
          <w:rFonts w:ascii="Arial" w:hAnsi="Arial" w:cs="Arial" w:eastAsia="Arial"/>
          <w:sz w:val="24"/>
        </w:rPr>
        <w:t>Drug distribution and accountability logs maintained in pharmacies or by</w:t>
      </w:r>
      <w:r>
        <w:rPr>
          <w:rFonts w:ascii="Arial" w:hAnsi="Arial" w:cs="Arial" w:eastAsia="Arial"/>
          <w:spacing w:val="-18"/>
          <w:sz w:val="24"/>
        </w:rPr>
        <w:t xml:space="preserve">  </w:t>
      </w:r>
      <w:r>
        <w:rPr>
          <w:rFonts w:ascii="Arial" w:hAnsi="Arial" w:cs="Arial" w:eastAsia="Arial"/>
          <w:sz w:val="24"/>
        </w:rPr>
        <w:t xml:space="preserve">  research personnel</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60" w:after="0"/>
        <w:ind w:left="960" w:right="591" w:hanging="360"/>
        <w:jc w:val="left"/>
        <w:rPr>
          <w:sz w:val="24"/>
        </w:rPr>
      </w:pPr>
      <w:r>
        <w:rPr>
          <w:rFonts w:ascii="Arial" w:hAnsi="Arial" w:cs="Arial" w:eastAsia="Arial"/>
          <w:sz w:val="24"/>
        </w:rPr>
        <w:t>Laboratory results and other laboratory test outputs (eg, urine pregnancy test result documentation and urine</w:t>
      </w:r>
      <w:r>
        <w:rPr>
          <w:rFonts w:ascii="Arial" w:hAnsi="Arial" w:cs="Arial" w:eastAsia="Arial"/>
          <w:spacing w:val="-1"/>
          <w:sz w:val="24"/>
        </w:rPr>
        <w:t xml:space="preserve">  </w:t>
      </w:r>
      <w:r>
        <w:rPr>
          <w:rFonts w:ascii="Arial" w:hAnsi="Arial" w:cs="Arial" w:eastAsia="Arial"/>
          <w:sz w:val="24"/>
        </w:rPr>
        <w:t xml:space="preserve">  dip-sticks)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60" w:after="0"/>
        <w:ind w:left="960" w:right="1180" w:hanging="360"/>
        <w:jc w:val="left"/>
        <w:rPr>
          <w:sz w:val="24"/>
        </w:rPr>
      </w:pPr>
      <w:r>
        <w:rPr>
          <w:rFonts w:ascii="Arial" w:hAnsi="Arial" w:cs="Arial" w:eastAsia="Arial"/>
          <w:sz w:val="24"/>
        </w:rPr>
        <w:t>Correspondence regarding a study subject’s treatment between physicians or memoranda sent to the</w:t>
      </w:r>
      <w:r>
        <w:rPr>
          <w:rFonts w:ascii="Arial" w:hAnsi="Arial" w:cs="Arial" w:eastAsia="Arial"/>
          <w:spacing w:val="-5"/>
          <w:sz w:val="24"/>
        </w:rPr>
        <w:t xml:space="preserve">  </w:t>
      </w:r>
      <w:r>
        <w:rPr>
          <w:rFonts w:ascii="Arial" w:hAnsi="Arial" w:cs="Arial" w:eastAsia="Arial"/>
          <w:sz w:val="24"/>
        </w:rPr>
        <w:t xml:space="preserve">  IRBs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60" w:after="0"/>
        <w:ind w:left="960" w:right="747" w:hanging="360"/>
        <w:jc w:val="left"/>
        <w:rPr>
          <w:sz w:val="24"/>
        </w:rPr>
      </w:pPr>
      <w:r>
        <w:rPr>
          <w:rFonts w:ascii="Arial" w:hAnsi="Arial" w:cs="Arial" w:eastAsia="Arial"/>
          <w:sz w:val="24"/>
        </w:rPr>
        <w:t>CRF components (eg, questionnaires) that are completed directly by subjects</w:t>
      </w:r>
      <w:r>
        <w:rPr>
          <w:rFonts w:ascii="Arial" w:hAnsi="Arial" w:cs="Arial" w:eastAsia="Arial"/>
          <w:spacing w:val="-17"/>
          <w:sz w:val="24"/>
        </w:rPr>
        <w:t xml:space="preserve">  </w:t>
      </w:r>
      <w:r>
        <w:rPr>
          <w:rFonts w:ascii="Arial" w:hAnsi="Arial" w:cs="Arial" w:eastAsia="Arial"/>
          <w:sz w:val="24"/>
        </w:rPr>
        <w:t xml:space="preserve">  and serve as their own</w:t>
      </w:r>
      <w:r>
        <w:rPr>
          <w:rFonts w:ascii="Arial" w:hAnsi="Arial" w:cs="Arial" w:eastAsia="Arial"/>
          <w:spacing w:val="-3"/>
          <w:sz w:val="24"/>
        </w:rPr>
        <w:t xml:space="preserve">  </w:t>
      </w:r>
      <w:r>
        <w:rPr>
          <w:rFonts w:ascii="Arial" w:hAnsi="Arial" w:cs="Arial" w:eastAsia="Arial"/>
          <w:sz w:val="24"/>
        </w:rPr>
        <w:t xml:space="preserve">  source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64" w:after="0"/>
        <w:ind w:left="960" w:right="0" w:hanging="720"/>
        <w:jc w:val="left"/>
      </w:pPr>
      <w:bookmarkStart w:name="11.4 Recording of Data" w:id="337"/>
      <w:bookmarkEnd w:id="337"/>
      <w:r>
        <w:rPr>
          <w:rFonts w:ascii="Arial" w:hAnsi="Arial" w:cs="Arial" w:eastAsia="Arial"/>
          <w:b w:val="0"/>
        </w:rPr>
      </w:r>
      <w:bookmarkStart w:name="_bookmark125" w:id="338"/>
      <w:bookmarkEnd w:id="338"/>
      <w:r>
        <w:rPr>
          <w:rFonts w:ascii="Arial" w:hAnsi="Arial" w:cs="Arial" w:eastAsia="Arial"/>
          <w:b w:val="0"/>
        </w:rPr>
      </w:r>
      <w:bookmarkStart w:name="_bookmark125" w:id="339"/>
      <w:bookmarkEnd w:id="339"/>
      <w:r>
        <w:rPr>
          <w:rFonts w:ascii="Arial" w:hAnsi="Arial" w:cs="Arial" w:eastAsia="Arial"/>
        </w:rPr>
        <w:t>Recording</w:t>
      </w:r>
      <w:r>
        <w:rPr>
          <w:rFonts w:ascii="Arial" w:hAnsi="Arial" w:cs="Arial" w:eastAsia="Arial"/>
        </w:rPr>
        <w:t xml:space="preserve">  of</w:t>
      </w:r>
      <w:r>
        <w:rPr>
          <w:rFonts w:ascii="Arial" w:hAnsi="Arial" w:cs="Arial" w:eastAsia="Arial"/>
          <w:spacing w:val="-1"/>
        </w:rPr>
        <w:t xml:space="preserve">  </w:t>
      </w:r>
      <w:r>
        <w:rPr>
          <w:rFonts w:ascii="Arial" w:hAnsi="Arial" w:cs="Arial" w:eastAsia="Arial"/>
        </w:rPr>
        <w:t xml:space="preserve">  Data</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5"/>
        <w:ind w:left="240" w:right="329"/>
      </w:pPr>
      <w:r>
        <w:rPr>
          <w:rFonts w:ascii="Arial" w:hAnsi="Arial" w:cs="Arial" w:eastAsia="Arial"/>
        </w:rPr>
        <w:t>A CRF is required and must be completed for each subject by qualified and authorized personnel. All data on the CRF must reflect the corresponding source document, except when a section of the CRF itself is used as the source document. Any correction to entries made on the CRF must be documented in a valid audit trail where the correction is dated, the individual making the correction is identified, the reason for the change is stated, and the original data are not obscured. Only data required by the protocol for the purposes of the study should be collected.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02"/>
      </w:pPr>
      <w:r>
        <w:rPr>
          <w:rFonts w:ascii="Arial" w:hAnsi="Arial" w:cs="Arial" w:eastAsia="Arial"/>
        </w:rPr>
        <w:t>The investigator must sign each CRF. The investigator will report the CRFs to the sponsor and retain a copy of the CRFs.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0" w:after="0"/>
        <w:ind w:left="960" w:right="0" w:hanging="720"/>
        <w:jc w:val="left"/>
      </w:pPr>
      <w:bookmarkStart w:name="11.5 Identification of Source Data" w:id="340"/>
      <w:bookmarkEnd w:id="340"/>
      <w:r>
        <w:rPr>
          <w:rFonts w:ascii="Arial" w:hAnsi="Arial" w:cs="Arial" w:eastAsia="Arial"/>
          <w:b w:val="0"/>
        </w:rPr>
      </w:r>
      <w:bookmarkStart w:name="_bookmark126" w:id="341"/>
      <w:bookmarkEnd w:id="341"/>
      <w:r>
        <w:rPr>
          <w:rFonts w:ascii="Arial" w:hAnsi="Arial" w:cs="Arial" w:eastAsia="Arial"/>
          <w:b w:val="0"/>
        </w:rPr>
      </w:r>
      <w:bookmarkStart w:name="_bookmark126" w:id="342"/>
      <w:bookmarkEnd w:id="342"/>
      <w:r>
        <w:rPr>
          <w:rFonts w:ascii="Arial" w:hAnsi="Arial" w:cs="Arial" w:eastAsia="Arial"/>
        </w:rPr>
        <w:t>Identification</w:t>
      </w:r>
      <w:r>
        <w:rPr>
          <w:rFonts w:ascii="Arial" w:hAnsi="Arial" w:cs="Arial" w:eastAsia="Arial"/>
        </w:rPr>
        <w:t xml:space="preserve">  of Source</w:t>
      </w:r>
      <w:r>
        <w:rPr>
          <w:rFonts w:ascii="Arial" w:hAnsi="Arial" w:cs="Arial" w:eastAsia="Arial"/>
          <w:spacing w:val="-1"/>
        </w:rPr>
        <w:t xml:space="preserve">  </w:t>
      </w:r>
      <w:r>
        <w:rPr>
          <w:rFonts w:ascii="Arial" w:hAnsi="Arial" w:cs="Arial" w:eastAsia="Arial"/>
        </w:rPr>
        <w:t xml:space="preserve">  Data</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40"/>
      </w:pPr>
      <w:r>
        <w:rPr>
          <w:rFonts w:ascii="Arial" w:hAnsi="Arial" w:cs="Arial" w:eastAsia="Arial"/>
        </w:rPr>
        <w:t>All data to be recorded on the CRF must reflect the corresponding source documents.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0" w:after="0"/>
        <w:ind w:left="960" w:right="0" w:hanging="720"/>
        <w:jc w:val="left"/>
      </w:pPr>
      <w:bookmarkStart w:name="11.6 Retention of Records" w:id="343"/>
      <w:bookmarkEnd w:id="343"/>
      <w:r>
        <w:rPr>
          <w:rFonts w:ascii="Arial" w:hAnsi="Arial" w:cs="Arial" w:eastAsia="Arial"/>
          <w:b w:val="0"/>
        </w:rPr>
      </w:r>
      <w:bookmarkStart w:name="_bookmark127" w:id="344"/>
      <w:bookmarkEnd w:id="344"/>
      <w:r>
        <w:rPr>
          <w:rFonts w:ascii="Arial" w:hAnsi="Arial" w:cs="Arial" w:eastAsia="Arial"/>
          <w:b w:val="0"/>
        </w:rPr>
      </w:r>
      <w:bookmarkStart w:name="_bookmark127" w:id="345"/>
      <w:bookmarkEnd w:id="345"/>
      <w:r>
        <w:rPr>
          <w:rFonts w:ascii="Arial" w:hAnsi="Arial" w:cs="Arial" w:eastAsia="Arial"/>
        </w:rPr>
        <w:t>Retention</w:t>
      </w:r>
      <w:r>
        <w:rPr>
          <w:rFonts w:ascii="Arial" w:hAnsi="Arial" w:cs="Arial" w:eastAsia="Arial"/>
        </w:rPr>
        <w:t xml:space="preserve">  of</w:t>
      </w:r>
      <w:r>
        <w:rPr>
          <w:rFonts w:ascii="Arial" w:hAnsi="Arial" w:cs="Arial" w:eastAsia="Arial"/>
          <w:spacing w:val="-1"/>
        </w:rPr>
        <w:t xml:space="preserve">  </w:t>
      </w:r>
      <w:r>
        <w:rPr>
          <w:rFonts w:ascii="Arial" w:hAnsi="Arial" w:cs="Arial" w:eastAsia="Arial"/>
        </w:rPr>
        <w:t xml:space="preserve">  Records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4"/>
        <w:ind w:left="240" w:right="295"/>
      </w:pPr>
      <w:r>
        <w:rPr>
          <w:rFonts w:ascii="Arial" w:hAnsi="Arial" w:cs="Arial" w:eastAsia="Arial"/>
        </w:rPr>
        <w:t>The circumstances of completion or termination of the study notwithstanding, the investigator is responsible for retaining all study documents, including but not limited to the protocol, copies of CRFs, the Investigator's Brochure, and regulatory agency registration documents (eg, Form FDA 1572, ICFs, and IRB correspondence). In addition, the sponsor will send a list of treatment codes by study subject to the investigator after the clinical database for this study has been locked. The site should plan to retain study documents, as directed by the sponsor, for at least 2 years after the last approval of a marketing application in an ICH region and until there are no pending or contemplated marketing applications in an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949"/>
      </w:pPr>
      <w:r>
        <w:rPr>
          <w:rFonts w:ascii="Arial" w:hAnsi="Arial" w:cs="Arial" w:eastAsia="Arial"/>
        </w:rPr>
        <w:t>ICH region or at least 3 years have elapsed since the formal discontinuation of clinical development of the investigational product.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469"/>
      </w:pPr>
      <w:r>
        <w:rPr>
          <w:rFonts w:ascii="Arial" w:hAnsi="Arial" w:cs="Arial" w:eastAsia="Arial"/>
        </w:rPr>
        <w:t>It is requested that at the completion of the required retention period, or should the investigator retire or relocate, the investigator contact the sponsor, allowing the sponsor the option of permanently retaining the study records.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0" w:after="0"/>
        <w:ind w:left="960" w:right="0" w:hanging="720"/>
        <w:jc w:val="left"/>
      </w:pPr>
      <w:bookmarkStart w:name="11.7 Auditing Procedures and Inspection" w:id="346"/>
      <w:bookmarkEnd w:id="346"/>
      <w:r>
        <w:rPr>
          <w:rFonts w:ascii="Arial" w:hAnsi="Arial" w:cs="Arial" w:eastAsia="Arial"/>
          <w:b w:val="0"/>
        </w:rPr>
      </w:r>
      <w:bookmarkStart w:name="_bookmark128" w:id="347"/>
      <w:bookmarkEnd w:id="347"/>
      <w:r>
        <w:rPr>
          <w:rFonts w:ascii="Arial" w:hAnsi="Arial" w:cs="Arial" w:eastAsia="Arial"/>
          <w:b w:val="0"/>
        </w:rPr>
      </w:r>
      <w:bookmarkStart w:name="_bookmark128" w:id="348"/>
      <w:bookmarkEnd w:id="348"/>
      <w:r>
        <w:rPr>
          <w:rFonts w:ascii="Arial" w:hAnsi="Arial" w:cs="Arial" w:eastAsia="Arial"/>
        </w:rPr>
        <w:t>A</w:t>
      </w:r>
      <w:r>
        <w:rPr>
          <w:rFonts w:ascii="Arial" w:hAnsi="Arial" w:cs="Arial" w:eastAsia="Arial"/>
        </w:rPr>
        <w:t>uditing Procedures and</w:t>
      </w:r>
      <w:r>
        <w:rPr>
          <w:rFonts w:ascii="Arial" w:hAnsi="Arial" w:cs="Arial" w:eastAsia="Arial"/>
          <w:spacing w:val="-1"/>
        </w:rPr>
        <w:t xml:space="preserve">  </w:t>
      </w:r>
      <w:r>
        <w:rPr>
          <w:rFonts w:ascii="Arial" w:hAnsi="Arial" w:cs="Arial" w:eastAsia="Arial"/>
        </w:rPr>
        <w:t xml:space="preserve">  Inspection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40" w:right="302"/>
      </w:pPr>
      <w:r>
        <w:rPr>
          <w:rFonts w:ascii="Arial" w:hAnsi="Arial" w:cs="Arial" w:eastAsia="Arial"/>
        </w:rPr>
        <w:t>In addition to routine monitoring procedures, the sponsor’s Clinical Quality Assurance department conducts audits of clinical research activities in accordance with the sponsor’s SOPs to evaluate compliance with the principles of ICH GCP and all applicable local regulations. If a government regulatory authority requests an inspection during the study or after its completion, the investigator must inform the sponsor immediately.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1" w:after="0"/>
        <w:ind w:left="960" w:right="0" w:hanging="720"/>
        <w:jc w:val="left"/>
      </w:pPr>
      <w:bookmarkStart w:name="11.8 Handling of Study Drug" w:id="349"/>
      <w:bookmarkEnd w:id="349"/>
      <w:r>
        <w:rPr>
          <w:rFonts w:ascii="Arial" w:hAnsi="Arial" w:cs="Arial" w:eastAsia="Arial"/>
          <w:b w:val="0"/>
        </w:rPr>
      </w:r>
      <w:bookmarkStart w:name="_bookmark129" w:id="350"/>
      <w:bookmarkEnd w:id="350"/>
      <w:r>
        <w:rPr>
          <w:rFonts w:ascii="Arial" w:hAnsi="Arial" w:cs="Arial" w:eastAsia="Arial"/>
          <w:b w:val="0"/>
        </w:rPr>
      </w:r>
      <w:bookmarkStart w:name="_bookmark129" w:id="351"/>
      <w:bookmarkEnd w:id="351"/>
      <w:r>
        <w:rPr>
          <w:rFonts w:ascii="Arial" w:hAnsi="Arial" w:cs="Arial" w:eastAsia="Arial"/>
        </w:rPr>
        <w:t>Handling</w:t>
      </w:r>
      <w:r>
        <w:rPr>
          <w:rFonts w:ascii="Arial" w:hAnsi="Arial" w:cs="Arial" w:eastAsia="Arial"/>
        </w:rPr>
        <w:t xml:space="preserve">  of Study</w:t>
      </w:r>
      <w:r>
        <w:rPr>
          <w:rFonts w:ascii="Arial" w:hAnsi="Arial" w:cs="Arial" w:eastAsia="Arial"/>
          <w:spacing w:val="-4"/>
        </w:rPr>
        <w:t xml:space="preserve">  </w:t>
      </w:r>
      <w:r>
        <w:rPr>
          <w:rFonts w:ascii="Arial" w:hAnsi="Arial" w:cs="Arial" w:eastAsia="Arial"/>
        </w:rPr>
        <w:t xml:space="preserve">  Drug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6"/>
        <w:ind w:left="240" w:right="296"/>
      </w:pPr>
      <w:r>
        <w:rPr>
          <w:rFonts w:ascii="Arial" w:hAnsi="Arial" w:cs="Arial" w:eastAsia="Arial"/>
        </w:rPr>
        <w:t>All study drugs will be supplied to the principal investigator (or a designated pharmacist) by the sponsor. Drug supplies must be kept in an appropriate secure area (eg, locked cabinet) and stored according to the conditions specified on the drug labels. The investigator (or a designated pharmacist) must maintain an accurate record of the shipment and dispensing of the study drug in a drug accountability ledger, a copy of which must be given to the sponsor at the end of the study. An accurate record of the date and amount of study drug dispensed to each subject must be available for inspection at any time. The CRA will visit the site and review these documents along with all other study conduct documents at appropriate intervals once study drug has been received by the</w:t>
      </w:r>
      <w:r>
        <w:rPr>
          <w:rFonts w:ascii="Arial" w:hAnsi="Arial" w:cs="Arial" w:eastAsia="Arial"/>
          <w:spacing w:val="-13"/>
        </w:rPr>
        <w:t xml:space="preserve">  </w:t>
      </w:r>
      <w:r>
        <w:rPr>
          <w:rFonts w:ascii="Arial" w:hAnsi="Arial" w:cs="Arial" w:eastAsia="Arial"/>
        </w:rPr>
        <w:t xml:space="preserve">  site.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28"/>
      </w:pPr>
      <w:r>
        <w:rPr>
          <w:rFonts w:ascii="Arial" w:hAnsi="Arial" w:cs="Arial" w:eastAsia="Arial"/>
        </w:rPr>
        <w:t>All drug supplies are to be used only for this study and not for any other purpose. The investigator (or site personnel) must not destroy any drug labels or any partly used or unused drug supply before approval to do so by the sponsor. At the conclusion of the study, or upon notification of the sponsor, and as appropriate during the study, the investigator (or a designated pharmacist) will return all used and unused drug containers, drug labels, and a copy of the completed drug disposition form to the sponsor’s CRA or, when approval is given by the sponsor, will destroy supplies and containers at the site.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1" w:after="0"/>
        <w:ind w:left="960" w:right="0" w:hanging="720"/>
        <w:jc w:val="left"/>
      </w:pPr>
      <w:bookmarkStart w:name="11.9 Publication of Results" w:id="352"/>
      <w:bookmarkEnd w:id="352"/>
      <w:r>
        <w:rPr>
          <w:rFonts w:ascii="Arial" w:hAnsi="Arial" w:cs="Arial" w:eastAsia="Arial"/>
          <w:b w:val="0"/>
        </w:rPr>
      </w:r>
      <w:bookmarkStart w:name="_bookmark130" w:id="353"/>
      <w:bookmarkEnd w:id="353"/>
      <w:r>
        <w:rPr>
          <w:rFonts w:ascii="Arial" w:hAnsi="Arial" w:cs="Arial" w:eastAsia="Arial"/>
          <w:b w:val="0"/>
        </w:rPr>
      </w:r>
      <w:bookmarkStart w:name="_bookmark130" w:id="354"/>
      <w:bookmarkEnd w:id="354"/>
      <w:r>
        <w:rPr>
          <w:rFonts w:ascii="Arial" w:hAnsi="Arial" w:cs="Arial" w:eastAsia="Arial"/>
        </w:rPr>
        <w:t>Publication</w:t>
      </w:r>
      <w:r>
        <w:rPr>
          <w:rFonts w:ascii="Arial" w:hAnsi="Arial" w:cs="Arial" w:eastAsia="Arial"/>
        </w:rPr>
        <w:t xml:space="preserve">  of</w:t>
      </w:r>
      <w:r>
        <w:rPr>
          <w:rFonts w:ascii="Arial" w:hAnsi="Arial" w:cs="Arial" w:eastAsia="Arial"/>
          <w:spacing w:val="-1"/>
        </w:rPr>
        <w:t xml:space="preserve">  </w:t>
      </w:r>
      <w:r>
        <w:rPr>
          <w:rFonts w:ascii="Arial" w:hAnsi="Arial" w:cs="Arial" w:eastAsia="Arial"/>
        </w:rPr>
        <w:t xml:space="preserve">  Results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4"/>
        <w:ind w:left="240" w:right="353"/>
      </w:pPr>
      <w:r>
        <w:rPr>
          <w:rFonts w:ascii="Arial" w:hAnsi="Arial" w:cs="Arial" w:eastAsia="Arial"/>
        </w:rPr>
        <w:t>All manuscripts, abstracts, or other modes of presentation arising from the results of the study must be reviewed and approved in writing by the sponsor in advance of submission pursuant to the terms and conditions set forth in the executed Clinical Trial Agreement between the sponsor/CRO and the institution/investigator. The review is aimed at protecting the sponsor's proprietary information existing either at the date of the commencement of the study or generated during the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729"/>
      </w:pPr>
      <w:r>
        <w:rPr>
          <w:rFonts w:ascii="Arial" w:hAnsi="Arial" w:cs="Arial" w:eastAsia="Arial"/>
        </w:rPr>
        <w:t>The detailed obligations regarding the publication of any data, material results, or other information generated or created in relation to the study shall be set out in the agreement between each investigator and the sponsor or CRO, as appropriate.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60" w:val="left" w:leader="none"/>
        </w:tabs>
        <w:spacing w:line="240" w:lineRule="auto" w:before="84" w:after="0"/>
        <w:ind w:left="960" w:right="0" w:hanging="720"/>
        <w:jc w:val="left"/>
      </w:pPr>
      <w:bookmarkStart w:name="11.10 Disclosure and Confidentiality" w:id="355"/>
      <w:bookmarkEnd w:id="355"/>
      <w:r>
        <w:rPr>
          <w:rFonts w:ascii="Arial" w:hAnsi="Arial" w:cs="Arial" w:eastAsia="Arial"/>
          <w:b w:val="0"/>
        </w:rPr>
      </w:r>
      <w:bookmarkStart w:name="_bookmark131" w:id="356"/>
      <w:bookmarkEnd w:id="356"/>
      <w:r>
        <w:rPr>
          <w:rFonts w:ascii="Arial" w:hAnsi="Arial" w:cs="Arial" w:eastAsia="Arial"/>
          <w:b w:val="0"/>
        </w:rPr>
      </w:r>
      <w:bookmarkStart w:name="_bookmark131" w:id="357"/>
      <w:bookmarkEnd w:id="357"/>
      <w:r>
        <w:rPr>
          <w:rFonts w:ascii="Arial" w:hAnsi="Arial" w:cs="Arial" w:eastAsia="Arial"/>
        </w:rPr>
        <w:t>Disclosure</w:t>
      </w:r>
      <w:r>
        <w:rPr>
          <w:rFonts w:ascii="Arial" w:hAnsi="Arial" w:cs="Arial" w:eastAsia="Arial"/>
        </w:rPr>
        <w:t xml:space="preserve">  and</w:t>
      </w:r>
      <w:r>
        <w:rPr>
          <w:rFonts w:ascii="Arial" w:hAnsi="Arial" w:cs="Arial" w:eastAsia="Arial"/>
          <w:spacing w:val="-1"/>
        </w:rPr>
        <w:t xml:space="preserve">  </w:t>
      </w:r>
      <w:r>
        <w:rPr>
          <w:rFonts w:ascii="Arial" w:hAnsi="Arial" w:cs="Arial" w:eastAsia="Arial"/>
        </w:rPr>
        <w:t xml:space="preserve">  Confidentiality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40" w:right="273"/>
      </w:pPr>
      <w:r>
        <w:rPr>
          <w:rFonts w:ascii="Arial" w:hAnsi="Arial" w:cs="Arial" w:eastAsia="Arial"/>
        </w:rPr>
        <w:t>The contents of this protocol and any amendments and results obtained during the study should be kept confidential by the investigator, the investigator’s staff, and the </w:t>
      </w:r>
      <w:r>
        <w:rPr>
          <w:rFonts w:ascii="Arial" w:hAnsi="Arial" w:cs="Arial" w:eastAsia="Arial"/>
          <w:spacing w:val="-3"/>
        </w:rPr>
        <w:t xml:space="preserve">  IRB </w:t>
      </w:r>
      <w:r>
        <w:rPr>
          <w:rFonts w:ascii="Arial" w:hAnsi="Arial" w:cs="Arial" w:eastAsia="Arial"/>
        </w:rPr>
        <w:t xml:space="preserve">  and will not be disclosed in whole or in part to others, or used for any purpose other than reviewing or performing the study, without the written consent of the sponsor. No data collected as part of this study will be used in any written work, including publications, without the written consent of the sponsor. These obligations of confidentiality and non-use shall in no way diminish such obligations as set forth in either the Confidentiality Agreement or Clinical Trial Agreement executed between the sponsor/CRO and the</w:t>
      </w:r>
      <w:r>
        <w:rPr>
          <w:rFonts w:ascii="Arial" w:hAnsi="Arial" w:cs="Arial" w:eastAsia="Arial"/>
          <w:spacing w:val="-12"/>
        </w:rPr>
        <w:t xml:space="preserve">  </w:t>
      </w:r>
      <w:r>
        <w:rPr>
          <w:rFonts w:ascii="Arial" w:hAnsi="Arial" w:cs="Arial" w:eastAsia="Arial"/>
        </w:rPr>
        <w:t xml:space="preserve">  institution/investigator.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7"/>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9"/>
      </w:pPr>
      <w:r>
        <w:rPr>
          <w:rFonts w:ascii="Arial" w:hAnsi="Arial" w:cs="Arial" w:eastAsia="Arial"/>
        </w:rPr>
        <w:t>All persons assisting in the performance of this study must be bound by the obligations of confidentiality and non-use set forth in either the Confidentiality Agreement or Clinical Trial Agreement executed between the institution/investigator and the sponsor/CRO.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60" w:val="left" w:leader="none"/>
        </w:tabs>
        <w:spacing w:line="240" w:lineRule="auto" w:before="0" w:after="0"/>
        <w:ind w:left="960" w:right="0" w:hanging="720"/>
        <w:jc w:val="left"/>
      </w:pPr>
      <w:bookmarkStart w:name="11.11 Discontinuation of Study" w:id="358"/>
      <w:bookmarkEnd w:id="358"/>
      <w:r>
        <w:rPr>
          <w:rFonts w:ascii="Arial" w:hAnsi="Arial" w:cs="Arial" w:eastAsia="Arial"/>
          <w:b w:val="0"/>
        </w:rPr>
      </w:r>
      <w:bookmarkStart w:name="_bookmark132" w:id="359"/>
      <w:bookmarkEnd w:id="359"/>
      <w:r>
        <w:rPr>
          <w:rFonts w:ascii="Arial" w:hAnsi="Arial" w:cs="Arial" w:eastAsia="Arial"/>
          <w:b w:val="0"/>
        </w:rPr>
      </w:r>
      <w:bookmarkStart w:name="_bookmark132" w:id="360"/>
      <w:bookmarkEnd w:id="360"/>
      <w:r>
        <w:rPr>
          <w:rFonts w:ascii="Arial" w:hAnsi="Arial" w:cs="Arial" w:eastAsia="Arial"/>
        </w:rPr>
        <w:t>Discontinuation</w:t>
      </w:r>
      <w:r>
        <w:rPr>
          <w:rFonts w:ascii="Arial" w:hAnsi="Arial" w:cs="Arial" w:eastAsia="Arial"/>
        </w:rPr>
        <w:t xml:space="preserve">  of</w:t>
      </w:r>
      <w:r>
        <w:rPr>
          <w:rFonts w:ascii="Arial" w:hAnsi="Arial" w:cs="Arial" w:eastAsia="Arial"/>
          <w:spacing w:val="-1"/>
        </w:rPr>
        <w:t xml:space="preserve">  </w:t>
      </w:r>
      <w:r>
        <w:rPr>
          <w:rFonts w:ascii="Arial" w:hAnsi="Arial" w:cs="Arial" w:eastAsia="Arial"/>
        </w:rPr>
        <w:t xml:space="preserv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40" w:right="308"/>
      </w:pPr>
      <w:r>
        <w:rPr>
          <w:rFonts w:ascii="Arial" w:hAnsi="Arial" w:cs="Arial" w:eastAsia="Arial"/>
        </w:rPr>
        <w:t>The sponsor reserves the right to discontinue the study for medical reasons or any other reason at any time. If a study is prematurely terminated or suspended, the sponsor will promptly inform the investigators/institutions and regulatory authorities of the termination or suspension and the reason(s) for the termination or suspension. The IRB will also be informed promptly and provided the reason(s) for the termination or suspension by the sponsor or by the investigator/institution, as specified by the applicable regulatory requirement(s).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668"/>
      </w:pPr>
      <w:r>
        <w:rPr>
          <w:rFonts w:ascii="Arial" w:hAnsi="Arial" w:cs="Arial" w:eastAsia="Arial"/>
        </w:rPr>
        <w:t>The investigator reserves the right to discontinue the study should his/her judgment so dictate. If the investigator terminates or suspends a study without prior agreement of the sponsor, the investigator should inform the institution where applicable, and the investigator/institution should promptly inform the sponsor and the IRB and provide the sponsor and the IRB with a detailed written explanation of the termination or suspension. Study records must be retained as noted above.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60" w:val="left" w:leader="none"/>
        </w:tabs>
        <w:spacing w:line="240" w:lineRule="auto" w:before="0" w:after="0"/>
        <w:ind w:left="960" w:right="0" w:hanging="720"/>
        <w:jc w:val="left"/>
      </w:pPr>
      <w:bookmarkStart w:name="11.12 Subject Insurance and Indemnity" w:id="361"/>
      <w:bookmarkEnd w:id="361"/>
      <w:r>
        <w:rPr>
          <w:rFonts w:ascii="Arial" w:hAnsi="Arial" w:cs="Arial" w:eastAsia="Arial"/>
          <w:b w:val="0"/>
        </w:rPr>
      </w:r>
      <w:bookmarkStart w:name="_bookmark133" w:id="362"/>
      <w:bookmarkEnd w:id="362"/>
      <w:r>
        <w:rPr>
          <w:rFonts w:ascii="Arial" w:hAnsi="Arial" w:cs="Arial" w:eastAsia="Arial"/>
          <w:b w:val="0"/>
        </w:rPr>
      </w:r>
      <w:bookmarkStart w:name="_bookmark133" w:id="363"/>
      <w:bookmarkEnd w:id="363"/>
      <w:r>
        <w:rPr>
          <w:rFonts w:ascii="Arial" w:hAnsi="Arial" w:cs="Arial" w:eastAsia="Arial"/>
        </w:rPr>
        <w:t>Subject</w:t>
      </w:r>
      <w:r>
        <w:rPr>
          <w:rFonts w:ascii="Arial" w:hAnsi="Arial" w:cs="Arial" w:eastAsia="Arial"/>
        </w:rPr>
        <w:t xml:space="preserve">  Insurance and</w:t>
      </w:r>
      <w:r>
        <w:rPr>
          <w:rFonts w:ascii="Arial" w:hAnsi="Arial" w:cs="Arial" w:eastAsia="Arial"/>
          <w:spacing w:val="-1"/>
        </w:rPr>
        <w:t xml:space="preserve">  </w:t>
      </w:r>
      <w:r>
        <w:rPr>
          <w:rFonts w:ascii="Arial" w:hAnsi="Arial" w:cs="Arial" w:eastAsia="Arial"/>
        </w:rPr>
        <w:t xml:space="preserve">  Indemnity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4"/>
        <w:ind w:left="240" w:right="435"/>
      </w:pPr>
      <w:r>
        <w:rPr>
          <w:rFonts w:ascii="Arial" w:hAnsi="Arial" w:cs="Arial" w:eastAsia="Arial"/>
        </w:rPr>
        <w:t>The sponsor will provide insurance for any subjects participating in the study in accordance with all applicable laws and regulations.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0"/>
          <w:numId w:val="29"/>
        </w:numPr>
        <w:tabs>
          <w:tab w:pos="720" w:val="left" w:leader="none"/>
        </w:tabs>
        <w:spacing w:line="240" w:lineRule="auto" w:before="84" w:after="0"/>
        <w:ind w:left="720" w:right="0" w:hanging="480"/>
        <w:jc w:val="left"/>
      </w:pPr>
      <w:bookmarkStart w:name="12 APPENDICES" w:id="364"/>
      <w:bookmarkEnd w:id="364"/>
      <w:r>
        <w:rPr>
          <w:rFonts w:ascii="Arial" w:hAnsi="Arial" w:cs="Arial" w:eastAsia="Arial"/>
          <w:b w:val="0"/>
        </w:rPr>
      </w:r>
      <w:bookmarkStart w:name="_bookmark134" w:id="365"/>
      <w:bookmarkEnd w:id="365"/>
      <w:r>
        <w:rPr>
          <w:rFonts w:ascii="Arial" w:hAnsi="Arial" w:cs="Arial" w:eastAsia="Arial"/>
          <w:b w:val="0"/>
        </w:rPr>
      </w:r>
      <w:bookmarkStart w:name="_bookmark134" w:id="366"/>
      <w:bookmarkEnd w:id="366"/>
      <w:r>
        <w:rPr>
          <w:rFonts w:ascii="Arial" w:hAnsi="Arial" w:cs="Arial" w:eastAsia="Arial"/>
        </w:rPr>
        <w:t>A</w:t>
      </w:r>
      <w:r>
        <w:rPr>
          <w:rFonts w:ascii="Arial" w:hAnsi="Arial" w:cs="Arial" w:eastAsia="Arial"/>
        </w:rPr>
        <w:t>PPENDICES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257"/>
        <w:jc w:val="both"/>
      </w:pPr>
      <w:r>
        <w:rPr>
          <w:rFonts w:ascii="Arial" w:hAnsi="Arial" w:cs="Arial" w:eastAsia="Arial"/>
        </w:rPr>
        <w:t>If the SAP needs to be revised after the study starts, the sponsor will determine how the revision impacts the study and how the revision should be implemented. The details of the revision will be documented and described in the clinical study report.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0"/>
          <w:numId w:val="29"/>
        </w:numPr>
        <w:tabs>
          <w:tab w:pos="720" w:val="left" w:leader="none"/>
        </w:tabs>
        <w:spacing w:line="240" w:lineRule="auto" w:before="84" w:after="0"/>
        <w:ind w:left="720" w:right="0" w:hanging="480"/>
        <w:jc w:val="left"/>
      </w:pPr>
      <w:bookmarkStart w:name="10 REFERENCE LIST" w:id="322"/>
      <w:bookmarkEnd w:id="322"/>
      <w:r>
        <w:rPr>
          <w:rFonts w:ascii="Arial" w:hAnsi="Arial" w:cs="Arial" w:eastAsia="Arial"/>
          <w:b w:val="0"/>
        </w:rPr>
      </w:r>
      <w:bookmarkStart w:name="_bookmark120" w:id="323"/>
      <w:bookmarkEnd w:id="323"/>
      <w:r>
        <w:rPr>
          <w:rFonts w:ascii="Arial" w:hAnsi="Arial" w:cs="Arial" w:eastAsia="Arial"/>
          <w:b w:val="0"/>
        </w:rPr>
      </w:r>
      <w:bookmarkStart w:name="_bookmark120" w:id="324"/>
      <w:bookmarkEnd w:id="324"/>
      <w:r>
        <w:rPr>
          <w:rFonts w:ascii="Arial" w:hAnsi="Arial" w:cs="Arial" w:eastAsia="Arial"/>
        </w:rPr>
        <w:t>REFERENC</w:t>
      </w:r>
      <w:r>
        <w:rPr>
          <w:rFonts w:ascii="Arial" w:hAnsi="Arial" w:cs="Arial" w:eastAsia="Arial"/>
        </w:rPr>
        <w:t>E</w:t>
      </w:r>
      <w:r>
        <w:rPr>
          <w:rFonts w:ascii="Arial" w:hAnsi="Arial" w:cs="Arial" w:eastAsia="Arial"/>
          <w:spacing w:val="-2"/>
        </w:rPr>
        <w:t xml:space="preserve">  </w:t>
      </w:r>
      <w:r>
        <w:rPr>
          <w:rFonts w:ascii="Arial" w:hAnsi="Arial" w:cs="Arial" w:eastAsia="Arial"/>
        </w:rPr>
        <w:t xml:space="preserve">  LIST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5"/>
        <w:ind w:left="240" w:right="708"/>
      </w:pPr>
      <w:r>
        <w:rPr>
          <w:rFonts w:ascii="Arial" w:hAnsi="Arial" w:cs="Arial" w:eastAsia="Arial"/>
        </w:rPr>
        <w:t>Binnie CD, van Emde Boas W, Kasteleijn-Nolste- Trenité DG, de Korte RA, Meijer JW, Meinardi H, et al. Acute effects of lamotrigine (BW430C) in persons with epilepsy.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pPr>
      <w:r>
        <w:rPr>
          <w:rFonts w:ascii="Arial" w:hAnsi="Arial" w:cs="Arial" w:eastAsia="Arial"/>
        </w:rPr>
        <w:t>Epilepsia. 1986a;27:248-54.</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521"/>
      </w:pPr>
      <w:r>
        <w:rPr>
          <w:rFonts w:ascii="Arial" w:hAnsi="Arial" w:cs="Arial" w:eastAsia="Arial"/>
        </w:rPr>
        <w:t>Binnie CD, Kasteleijn-Nolst Trenité DG, de Korte R. Photosensitivity as a model for acute antiepileptic drug studies. Electroencephalogr Clin Neurophysiol. 1986b;63:35-41.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1381"/>
      </w:pPr>
      <w:r>
        <w:rPr>
          <w:rFonts w:ascii="Arial" w:hAnsi="Arial" w:cs="Arial" w:eastAsia="Arial"/>
        </w:rPr>
        <w:t>Binnie CD. Preliminary evaluation of potential anti-epileptic drugs by single dose electrophysiological and pharmacological studies in patients. J Neural Transm.</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pPr>
      <w:r>
        <w:rPr>
          <w:rFonts w:ascii="Arial" w:hAnsi="Arial" w:cs="Arial" w:eastAsia="Arial"/>
        </w:rPr>
        <w:t>1988;72:259-66.</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955"/>
      </w:pPr>
      <w:r>
        <w:rPr>
          <w:rFonts w:ascii="Arial" w:hAnsi="Arial" w:cs="Arial" w:eastAsia="Arial"/>
        </w:rPr>
        <w:t>Bond A, Lader M. The use of analogue scales in rating subjective feelings. Br. J. med. Psychol. 1974; 47: 211-8.</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French J, Krauss G. Effect of Marketed Antiepileptic Drugs and Placebo in the Human Photosensitivity Screening Protocol. Neurotherapeutics. 2014 11:412-18</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87"/>
      </w:pPr>
      <w:r>
        <w:rPr>
          <w:rFonts w:ascii="Arial" w:hAnsi="Arial" w:cs="Arial" w:eastAsia="Arial"/>
        </w:rPr>
        <w:t>Kasteleijn-Nolst Trenité DG, Genton P, Parain D, Masnou P, Steinhoff BJ, Jacobs T, et al. Evaluation of brivaracetam, a novel SV2A ligand, in the photosensitivity model. Neurology. 2007;69:1027-34.</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35"/>
      </w:pPr>
      <w:r>
        <w:rPr>
          <w:rFonts w:ascii="Arial" w:hAnsi="Arial" w:cs="Arial" w:eastAsia="Arial"/>
        </w:rPr>
        <w:t>Kasteleijn-Nolst Trenité DG, Marescaux C, Stodieck S, Edelbroek PM, Oosting J. Photosensitive epilepsy: a model to study the effects of antiepileptic drugs. Evaluation of the piracetam analogue, levetiracetam. Epilepsy Res. 1996;25:225-30.</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69"/>
      </w:pPr>
      <w:r>
        <w:rPr>
          <w:rFonts w:ascii="Arial" w:hAnsi="Arial" w:cs="Arial" w:eastAsia="Arial"/>
        </w:rPr>
        <w:t>Löscher W, Luna-Tortós C, Römermann K, Fedrowitz M. Do ATP-binding cassette transporters cause pharmacoresistance in epilepsy? Problems and approaches in determining which antiepileptic drugs are affected. Curr Pharm Des. 2011;17(26):2808-28.</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502"/>
      </w:pPr>
      <w:r>
        <w:rPr>
          <w:rFonts w:ascii="Arial" w:hAnsi="Arial" w:cs="Arial" w:eastAsia="Arial"/>
        </w:rPr>
        <w:t>Trenité DG, French JA, Hirsch E, Macher JP, Meyer BU, Grosse PA et al. Evaluation of carisbamate, a novel antiepileptic drug, in photosensitive patients: an exploratory, placebo- controlled study. Epilepsy Res. 2007;74:193-200.</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Columbia-Suicide Severity Rating Scale (C-SSRS). Columbia University. Available from: </w:t>
      </w:r>
      <w:hyperlink r:id="rId12">
        <w:r>
          <w:rPr>
            <w:rFonts w:ascii="Arial" w:hAnsi="Arial" w:cs="Arial" w:eastAsia="Arial"/>
          </w:rPr>
          <w:t xml:space="preserve">  http://www.cssrs.columbia.edu/scales_cssrs.html</w:t>
        </w:r>
      </w:hyperlink>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0"/>
          <w:numId w:val="29"/>
        </w:numPr>
        <w:tabs>
          <w:tab w:pos="720" w:val="left" w:leader="none"/>
        </w:tabs>
        <w:spacing w:line="240" w:lineRule="auto" w:before="84" w:after="0"/>
        <w:ind w:left="720" w:right="1389" w:hanging="480"/>
        <w:jc w:val="left"/>
      </w:pPr>
      <w:bookmarkStart w:name="11 PROCEDURES AND INSTRUCTIONS (ADMINIST" w:id="325"/>
      <w:bookmarkEnd w:id="325"/>
      <w:r>
        <w:rPr>
          <w:rFonts w:ascii="Arial" w:hAnsi="Arial" w:cs="Arial" w:eastAsia="Arial"/>
          <w:b w:val="0"/>
        </w:rPr>
      </w:r>
      <w:bookmarkStart w:name="_bookmark121" w:id="326"/>
      <w:bookmarkEnd w:id="326"/>
      <w:r>
        <w:rPr>
          <w:rFonts w:ascii="Arial" w:hAnsi="Arial" w:cs="Arial" w:eastAsia="Arial"/>
          <w:b w:val="0"/>
        </w:rPr>
      </w:r>
      <w:bookmarkStart w:name="_bookmark121" w:id="327"/>
      <w:bookmarkEnd w:id="327"/>
      <w:r>
        <w:rPr>
          <w:rFonts w:ascii="Arial" w:hAnsi="Arial" w:cs="Arial" w:eastAsia="Arial"/>
        </w:rPr>
        <w:t>PROCEDURE</w:t>
      </w:r>
      <w:r>
        <w:rPr>
          <w:rFonts w:ascii="Arial" w:hAnsi="Arial" w:cs="Arial" w:eastAsia="Arial"/>
        </w:rPr>
        <w:t>S AND INSTRUCTIONS</w:t>
      </w:r>
      <w:r>
        <w:rPr>
          <w:rFonts w:ascii="Arial" w:hAnsi="Arial" w:cs="Arial" w:eastAsia="Arial"/>
          <w:spacing w:val="-15"/>
        </w:rPr>
        <w:t xml:space="preserve">  </w:t>
      </w:r>
      <w:r>
        <w:rPr>
          <w:rFonts w:ascii="Arial" w:hAnsi="Arial" w:cs="Arial" w:eastAsia="Arial"/>
        </w:rPr>
        <w:t xml:space="preserve">  (ADMINISTRATIVE PROCEDURES)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239" w:after="0"/>
        <w:ind w:left="960" w:right="0" w:hanging="720"/>
        <w:jc w:val="left"/>
      </w:pPr>
      <w:bookmarkStart w:name="11.1 Changes to the Protocol" w:id="328"/>
      <w:bookmarkEnd w:id="328"/>
      <w:r>
        <w:rPr>
          <w:rFonts w:ascii="Arial" w:hAnsi="Arial" w:cs="Arial" w:eastAsia="Arial"/>
          <w:b w:val="0"/>
        </w:rPr>
      </w:r>
      <w:bookmarkStart w:name="_bookmark122" w:id="329"/>
      <w:bookmarkEnd w:id="329"/>
      <w:r>
        <w:rPr>
          <w:rFonts w:ascii="Arial" w:hAnsi="Arial" w:cs="Arial" w:eastAsia="Arial"/>
          <w:b w:val="0"/>
        </w:rPr>
      </w:r>
      <w:bookmarkStart w:name="_bookmark122" w:id="330"/>
      <w:bookmarkEnd w:id="330"/>
      <w:r>
        <w:rPr>
          <w:rFonts w:ascii="Arial" w:hAnsi="Arial" w:cs="Arial" w:eastAsia="Arial"/>
        </w:rPr>
        <w:t>Changes</w:t>
      </w:r>
      <w:r>
        <w:rPr>
          <w:rFonts w:ascii="Arial" w:hAnsi="Arial" w:cs="Arial" w:eastAsia="Arial"/>
        </w:rPr>
        <w:t xml:space="preserve">  to the</w:t>
      </w:r>
      <w:r>
        <w:rPr>
          <w:rFonts w:ascii="Arial" w:hAnsi="Arial" w:cs="Arial" w:eastAsia="Arial"/>
          <w:spacing w:val="-1"/>
        </w:rPr>
        <w:t xml:space="preserve">  </w:t>
      </w:r>
      <w:r>
        <w:rPr>
          <w:rFonts w:ascii="Arial" w:hAnsi="Arial" w:cs="Arial" w:eastAsia="Arial"/>
        </w:rPr>
        <w:t xml:space="preserve">  Protocol</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40" w:right="355"/>
      </w:pPr>
      <w:r>
        <w:rPr>
          <w:rFonts w:ascii="Arial" w:hAnsi="Arial" w:cs="Arial" w:eastAsia="Arial"/>
        </w:rPr>
        <w:t>Any change to the protocol requires a written protocol amendment or administrative change that must be approved by the sponsor before implementation. Amendments specifically affecting the safety of subjects, the scope of the investigation, or the scientific quality of the study require submission to health or regulatory authorities as well as additional approval by the applicable IRBs. These requirements should in no way prevent any immediate action from being taken by the investigator, or by the sponsor, in the interest of preserving the safety of all subjects included in the study. If the investigator determines that an immediate change to or deviation from the protocol is necessary for safety reasons to eliminate an immediate hazard to the subjects, the sponsor’s medical monitor and the IRB for the site must be notified immediately. The sponsor must notify the health or regulatory authority as required per local regulations.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1"/>
      </w:pPr>
      <w:r>
        <w:rPr>
          <w:rFonts w:ascii="Arial" w:hAnsi="Arial" w:cs="Arial" w:eastAsia="Arial"/>
        </w:rPr>
        <w:t>Protocol amendments that affect only administrative aspects of the study may not require submission to health or regulatory authority or the IRB, but the health or regulatory authority and IRB should be kept informed of such changes as required by local regulations. In these cases, the sponsor may be required to send a letter to the IRB and the Competent Authorities detailing such changes.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0" w:after="0"/>
        <w:ind w:left="960" w:right="0" w:hanging="720"/>
        <w:jc w:val="left"/>
      </w:pPr>
      <w:bookmarkStart w:name="11.2 Adherence to the Protocol" w:id="331"/>
      <w:bookmarkEnd w:id="331"/>
      <w:r>
        <w:rPr>
          <w:rFonts w:ascii="Arial" w:hAnsi="Arial" w:cs="Arial" w:eastAsia="Arial"/>
          <w:b w:val="0"/>
        </w:rPr>
      </w:r>
      <w:bookmarkStart w:name="_bookmark123" w:id="332"/>
      <w:bookmarkEnd w:id="332"/>
      <w:r>
        <w:rPr>
          <w:rFonts w:ascii="Arial" w:hAnsi="Arial" w:cs="Arial" w:eastAsia="Arial"/>
          <w:b w:val="0"/>
        </w:rPr>
      </w:r>
      <w:bookmarkStart w:name="_bookmark123" w:id="333"/>
      <w:bookmarkEnd w:id="333"/>
      <w:r>
        <w:rPr>
          <w:rFonts w:ascii="Arial" w:hAnsi="Arial" w:cs="Arial" w:eastAsia="Arial"/>
        </w:rPr>
        <w:t>A</w:t>
      </w:r>
      <w:r>
        <w:rPr>
          <w:rFonts w:ascii="Arial" w:hAnsi="Arial" w:cs="Arial" w:eastAsia="Arial"/>
        </w:rPr>
        <w:t>dherence to the</w:t>
      </w:r>
      <w:r>
        <w:rPr>
          <w:rFonts w:ascii="Arial" w:hAnsi="Arial" w:cs="Arial" w:eastAsia="Arial"/>
          <w:spacing w:val="-1"/>
        </w:rPr>
        <w:t xml:space="preserve">  </w:t>
      </w:r>
      <w:r>
        <w:rPr>
          <w:rFonts w:ascii="Arial" w:hAnsi="Arial" w:cs="Arial" w:eastAsia="Arial"/>
        </w:rPr>
        <w:t xml:space="preserve">  Protocol</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4"/>
        <w:ind w:left="240" w:right="1022"/>
      </w:pPr>
      <w:r>
        <w:rPr>
          <w:rFonts w:ascii="Arial" w:hAnsi="Arial" w:cs="Arial" w:eastAsia="Arial"/>
        </w:rPr>
        <w:t>The investigator will conduct the study in strict accordance with the protocol (refer to ICH E6, Section 4.5).</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0" w:after="0"/>
        <w:ind w:left="960" w:right="0" w:hanging="720"/>
        <w:jc w:val="left"/>
      </w:pPr>
      <w:bookmarkStart w:name="11.3 Monitoring Procedures" w:id="334"/>
      <w:bookmarkEnd w:id="334"/>
      <w:r>
        <w:rPr>
          <w:rFonts w:ascii="Arial" w:hAnsi="Arial" w:cs="Arial" w:eastAsia="Arial"/>
          <w:b w:val="0"/>
        </w:rPr>
      </w:r>
      <w:bookmarkStart w:name="_bookmark124" w:id="335"/>
      <w:bookmarkEnd w:id="335"/>
      <w:r>
        <w:rPr>
          <w:rFonts w:ascii="Arial" w:hAnsi="Arial" w:cs="Arial" w:eastAsia="Arial"/>
          <w:b w:val="0"/>
        </w:rPr>
      </w:r>
      <w:bookmarkStart w:name="_bookmark124" w:id="336"/>
      <w:bookmarkEnd w:id="336"/>
      <w:r>
        <w:rPr>
          <w:rFonts w:ascii="Arial" w:hAnsi="Arial" w:cs="Arial" w:eastAsia="Arial"/>
        </w:rPr>
        <w:t>Monitoring</w:t>
      </w:r>
      <w:r>
        <w:rPr>
          <w:rFonts w:ascii="Arial" w:hAnsi="Arial" w:cs="Arial" w:eastAsia="Arial"/>
          <w:spacing w:val="-1"/>
        </w:rPr>
        <w:t xml:space="preserve">  </w:t>
      </w:r>
      <w:r>
        <w:rPr>
          <w:rFonts w:ascii="Arial" w:hAnsi="Arial" w:cs="Arial" w:eastAsia="Arial"/>
        </w:rPr>
        <w:t xml:space="preserve">  Procedures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40" w:right="302"/>
      </w:pPr>
      <w:r>
        <w:rPr>
          <w:rFonts w:ascii="Arial" w:hAnsi="Arial" w:cs="Arial" w:eastAsia="Arial"/>
        </w:rPr>
        <w:t>The CRO’s CRA will maintain contact with the investigator and designated staff by telephone, letter, or email between study visits. Monitoring visits to each site will be conducted by the assigned CRA as described in the monitoring plan. The investigator will allow the CRA to inspect the clinical, laboratory, and pharmacy facilities to assure compliance with GCP and local regulatory requirements. The CRFs and subject’s corresponding original medical records (source documents) are to be fully available for review by the sponsor’s representatives at regular intervals. These reviews verify adherence to study protocol and data accuracy in accordance with local regulations. All records at the site are subject to inspection by the local auditing agency and to IRB review.</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489"/>
      </w:pPr>
      <w:r>
        <w:rPr>
          <w:rFonts w:ascii="Arial" w:hAnsi="Arial" w:cs="Arial" w:eastAsia="Arial"/>
        </w:rPr>
        <w:t>In accordance with ICH E6, Section 1.52, source documents include, but are not limited to, the following: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0" w:after="0"/>
        <w:ind w:left="960" w:right="0" w:hanging="360"/>
        <w:jc w:val="left"/>
        <w:rPr>
          <w:sz w:val="24"/>
        </w:rPr>
      </w:pPr>
      <w:r>
        <w:rPr>
          <w:rFonts w:ascii="Arial" w:hAnsi="Arial" w:cs="Arial" w:eastAsia="Arial"/>
          <w:sz w:val="24"/>
        </w:rPr>
        <w:t>Clinic, office, or hospital</w:t>
      </w:r>
      <w:r>
        <w:rPr>
          <w:rFonts w:ascii="Arial" w:hAnsi="Arial" w:cs="Arial" w:eastAsia="Arial"/>
          <w:spacing w:val="-5"/>
          <w:sz w:val="24"/>
        </w:rPr>
        <w:t xml:space="preserve">  </w:t>
      </w:r>
      <w:r>
        <w:rPr>
          <w:rFonts w:ascii="Arial" w:hAnsi="Arial" w:cs="Arial" w:eastAsia="Arial"/>
          <w:sz w:val="24"/>
        </w:rPr>
        <w:t xml:space="preserve">  charts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60" w:after="0"/>
        <w:ind w:left="960" w:right="380" w:hanging="360"/>
        <w:jc w:val="left"/>
        <w:rPr>
          <w:sz w:val="24"/>
        </w:rPr>
      </w:pPr>
      <w:r>
        <w:rPr>
          <w:rFonts w:ascii="Arial" w:hAnsi="Arial" w:cs="Arial" w:eastAsia="Arial"/>
          <w:sz w:val="24"/>
        </w:rPr>
        <w:t>Copies or transcribed health care provider notes that have been certified for accuracy after</w:t>
      </w:r>
      <w:r>
        <w:rPr>
          <w:rFonts w:ascii="Arial" w:hAnsi="Arial" w:cs="Arial" w:eastAsia="Arial"/>
          <w:spacing w:val="-2"/>
          <w:sz w:val="24"/>
        </w:rPr>
        <w:t xml:space="preserve">  </w:t>
      </w:r>
      <w:r>
        <w:rPr>
          <w:rFonts w:ascii="Arial" w:hAnsi="Arial" w:cs="Arial" w:eastAsia="Arial"/>
          <w:sz w:val="24"/>
        </w:rPr>
        <w:t xml:space="preserve">  production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80" w:after="0"/>
        <w:ind w:left="960" w:right="610" w:hanging="360"/>
        <w:jc w:val="left"/>
        <w:rPr>
          <w:sz w:val="24"/>
        </w:rPr>
      </w:pPr>
      <w:r>
        <w:rPr>
          <w:rFonts w:ascii="Arial" w:hAnsi="Arial" w:cs="Arial" w:eastAsia="Arial"/>
          <w:sz w:val="24"/>
        </w:rPr>
        <w:t>Recorded data from automated instruments such as interactive response system, x- rays, and other imaging reports (eg, sonograms, CT scans, magnetic resonance images, radioactive images, ECGs, rhythm strips, EEGs, polysomnographs, pulmonary function tests) regardless of how these images are stored, including microfiche and photographic</w:t>
      </w:r>
      <w:r>
        <w:rPr>
          <w:rFonts w:ascii="Arial" w:hAnsi="Arial" w:cs="Arial" w:eastAsia="Arial"/>
          <w:spacing w:val="-2"/>
          <w:sz w:val="24"/>
        </w:rPr>
        <w:t xml:space="preserve">  </w:t>
      </w:r>
      <w:r>
        <w:rPr>
          <w:rFonts w:ascii="Arial" w:hAnsi="Arial" w:cs="Arial" w:eastAsia="Arial"/>
          <w:sz w:val="24"/>
        </w:rPr>
        <w:t xml:space="preserve">  negatives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60" w:after="0"/>
        <w:ind w:left="960" w:right="0" w:hanging="360"/>
        <w:jc w:val="left"/>
        <w:rPr>
          <w:sz w:val="24"/>
        </w:rPr>
      </w:pPr>
      <w:r>
        <w:rPr>
          <w:rFonts w:ascii="Arial" w:hAnsi="Arial" w:cs="Arial" w:eastAsia="Arial"/>
          <w:sz w:val="24"/>
        </w:rPr>
        <w:t>Pain, quality of life, or medical history questionnaires completed by</w:t>
      </w:r>
      <w:r>
        <w:rPr>
          <w:rFonts w:ascii="Arial" w:hAnsi="Arial" w:cs="Arial" w:eastAsia="Arial"/>
          <w:spacing w:val="-14"/>
          <w:sz w:val="24"/>
        </w:rPr>
        <w:t xml:space="preserve">  </w:t>
      </w:r>
      <w:r>
        <w:rPr>
          <w:rFonts w:ascii="Arial" w:hAnsi="Arial" w:cs="Arial" w:eastAsia="Arial"/>
          <w:sz w:val="24"/>
        </w:rPr>
        <w:t xml:space="preserve">  subjects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60" w:after="0"/>
        <w:ind w:left="960" w:right="0" w:hanging="360"/>
        <w:jc w:val="left"/>
        <w:rPr>
          <w:sz w:val="24"/>
        </w:rPr>
      </w:pPr>
      <w:r>
        <w:rPr>
          <w:rFonts w:ascii="Arial" w:hAnsi="Arial" w:cs="Arial" w:eastAsia="Arial"/>
          <w:sz w:val="24"/>
        </w:rPr>
        <w:t>Records of telephone</w:t>
      </w:r>
      <w:r>
        <w:rPr>
          <w:rFonts w:ascii="Arial" w:hAnsi="Arial" w:cs="Arial" w:eastAsia="Arial"/>
          <w:spacing w:val="-3"/>
          <w:sz w:val="24"/>
        </w:rPr>
        <w:t xml:space="preserve">  </w:t>
      </w:r>
      <w:r>
        <w:rPr>
          <w:rFonts w:ascii="Arial" w:hAnsi="Arial" w:cs="Arial" w:eastAsia="Arial"/>
          <w:sz w:val="24"/>
        </w:rPr>
        <w:t xml:space="preserve">  contacts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60" w:after="0"/>
        <w:ind w:left="960" w:right="0" w:hanging="360"/>
        <w:jc w:val="left"/>
        <w:rPr>
          <w:sz w:val="24"/>
        </w:rPr>
      </w:pPr>
      <w:r>
        <w:rPr>
          <w:rFonts w:ascii="Arial" w:hAnsi="Arial" w:cs="Arial" w:eastAsia="Arial"/>
          <w:sz w:val="24"/>
        </w:rPr>
        <w:t>Diaries or evaluation</w:t>
      </w:r>
      <w:r>
        <w:rPr>
          <w:rFonts w:ascii="Arial" w:hAnsi="Arial" w:cs="Arial" w:eastAsia="Arial"/>
          <w:spacing w:val="-2"/>
          <w:sz w:val="24"/>
        </w:rPr>
        <w:t xml:space="preserve">  </w:t>
      </w:r>
      <w:r>
        <w:rPr>
          <w:rFonts w:ascii="Arial" w:hAnsi="Arial" w:cs="Arial" w:eastAsia="Arial"/>
          <w:sz w:val="24"/>
        </w:rPr>
        <w:t xml:space="preserve">  checklists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60" w:after="0"/>
        <w:ind w:left="960" w:right="649" w:hanging="360"/>
        <w:jc w:val="left"/>
        <w:rPr>
          <w:sz w:val="24"/>
        </w:rPr>
      </w:pPr>
      <w:r>
        <w:rPr>
          <w:rFonts w:ascii="Arial" w:hAnsi="Arial" w:cs="Arial" w:eastAsia="Arial"/>
          <w:sz w:val="24"/>
        </w:rPr>
        <w:t>Drug distribution and accountability logs maintained in pharmacies or by</w:t>
      </w:r>
      <w:r>
        <w:rPr>
          <w:rFonts w:ascii="Arial" w:hAnsi="Arial" w:cs="Arial" w:eastAsia="Arial"/>
          <w:spacing w:val="-18"/>
          <w:sz w:val="24"/>
        </w:rPr>
        <w:t xml:space="preserve">  </w:t>
      </w:r>
      <w:r>
        <w:rPr>
          <w:rFonts w:ascii="Arial" w:hAnsi="Arial" w:cs="Arial" w:eastAsia="Arial"/>
          <w:sz w:val="24"/>
        </w:rPr>
        <w:t xml:space="preserve">  research personnel</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60" w:after="0"/>
        <w:ind w:left="960" w:right="591" w:hanging="360"/>
        <w:jc w:val="left"/>
        <w:rPr>
          <w:sz w:val="24"/>
        </w:rPr>
      </w:pPr>
      <w:r>
        <w:rPr>
          <w:rFonts w:ascii="Arial" w:hAnsi="Arial" w:cs="Arial" w:eastAsia="Arial"/>
          <w:sz w:val="24"/>
        </w:rPr>
        <w:t>Laboratory results and other laboratory test outputs (eg, urine pregnancy test result documentation and urine</w:t>
      </w:r>
      <w:r>
        <w:rPr>
          <w:rFonts w:ascii="Arial" w:hAnsi="Arial" w:cs="Arial" w:eastAsia="Arial"/>
          <w:spacing w:val="-1"/>
          <w:sz w:val="24"/>
        </w:rPr>
        <w:t xml:space="preserve">  </w:t>
      </w:r>
      <w:r>
        <w:rPr>
          <w:rFonts w:ascii="Arial" w:hAnsi="Arial" w:cs="Arial" w:eastAsia="Arial"/>
          <w:sz w:val="24"/>
        </w:rPr>
        <w:t xml:space="preserve">  dip-sticks)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60" w:after="0"/>
        <w:ind w:left="960" w:right="1180" w:hanging="360"/>
        <w:jc w:val="left"/>
        <w:rPr>
          <w:sz w:val="24"/>
        </w:rPr>
      </w:pPr>
      <w:r>
        <w:rPr>
          <w:rFonts w:ascii="Arial" w:hAnsi="Arial" w:cs="Arial" w:eastAsia="Arial"/>
          <w:sz w:val="24"/>
        </w:rPr>
        <w:t>Correspondence regarding a study subject’s treatment between physicians or memoranda sent to the</w:t>
      </w:r>
      <w:r>
        <w:rPr>
          <w:rFonts w:ascii="Arial" w:hAnsi="Arial" w:cs="Arial" w:eastAsia="Arial"/>
          <w:spacing w:val="-5"/>
          <w:sz w:val="24"/>
        </w:rPr>
        <w:t xml:space="preserve">  </w:t>
      </w:r>
      <w:r>
        <w:rPr>
          <w:rFonts w:ascii="Arial" w:hAnsi="Arial" w:cs="Arial" w:eastAsia="Arial"/>
          <w:sz w:val="24"/>
        </w:rPr>
        <w:t xml:space="preserve">  IRBs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30"/>
        </w:numPr>
        <w:tabs>
          <w:tab w:pos="959" w:val="left" w:leader="none"/>
          <w:tab w:pos="960" w:val="left" w:leader="none"/>
        </w:tabs>
        <w:spacing w:line="240" w:lineRule="auto" w:before="60" w:after="0"/>
        <w:ind w:left="960" w:right="747" w:hanging="360"/>
        <w:jc w:val="left"/>
        <w:rPr>
          <w:sz w:val="24"/>
        </w:rPr>
      </w:pPr>
      <w:r>
        <w:rPr>
          <w:rFonts w:ascii="Arial" w:hAnsi="Arial" w:cs="Arial" w:eastAsia="Arial"/>
          <w:sz w:val="24"/>
        </w:rPr>
        <w:t>CRF components (eg, questionnaires) that are completed directly by subjects</w:t>
      </w:r>
      <w:r>
        <w:rPr>
          <w:rFonts w:ascii="Arial" w:hAnsi="Arial" w:cs="Arial" w:eastAsia="Arial"/>
          <w:spacing w:val="-17"/>
          <w:sz w:val="24"/>
        </w:rPr>
        <w:t xml:space="preserve">  </w:t>
      </w:r>
      <w:r>
        <w:rPr>
          <w:rFonts w:ascii="Arial" w:hAnsi="Arial" w:cs="Arial" w:eastAsia="Arial"/>
          <w:sz w:val="24"/>
        </w:rPr>
        <w:t xml:space="preserve">  and serve as their own</w:t>
      </w:r>
      <w:r>
        <w:rPr>
          <w:rFonts w:ascii="Arial" w:hAnsi="Arial" w:cs="Arial" w:eastAsia="Arial"/>
          <w:spacing w:val="-3"/>
          <w:sz w:val="24"/>
        </w:rPr>
        <w:t xml:space="preserve">  </w:t>
      </w:r>
      <w:r>
        <w:rPr>
          <w:rFonts w:ascii="Arial" w:hAnsi="Arial" w:cs="Arial" w:eastAsia="Arial"/>
          <w:sz w:val="24"/>
        </w:rPr>
        <w:t xml:space="preserve">  source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64" w:after="0"/>
        <w:ind w:left="960" w:right="0" w:hanging="720"/>
        <w:jc w:val="left"/>
      </w:pPr>
      <w:bookmarkStart w:name="11.4 Recording of Data" w:id="337"/>
      <w:bookmarkEnd w:id="337"/>
      <w:r>
        <w:rPr>
          <w:rFonts w:ascii="Arial" w:hAnsi="Arial" w:cs="Arial" w:eastAsia="Arial"/>
          <w:b w:val="0"/>
        </w:rPr>
      </w:r>
      <w:bookmarkStart w:name="_bookmark125" w:id="338"/>
      <w:bookmarkEnd w:id="338"/>
      <w:r>
        <w:rPr>
          <w:rFonts w:ascii="Arial" w:hAnsi="Arial" w:cs="Arial" w:eastAsia="Arial"/>
          <w:b w:val="0"/>
        </w:rPr>
      </w:r>
      <w:bookmarkStart w:name="_bookmark125" w:id="339"/>
      <w:bookmarkEnd w:id="339"/>
      <w:r>
        <w:rPr>
          <w:rFonts w:ascii="Arial" w:hAnsi="Arial" w:cs="Arial" w:eastAsia="Arial"/>
        </w:rPr>
        <w:t>Recording</w:t>
      </w:r>
      <w:r>
        <w:rPr>
          <w:rFonts w:ascii="Arial" w:hAnsi="Arial" w:cs="Arial" w:eastAsia="Arial"/>
        </w:rPr>
        <w:t xml:space="preserve">  of</w:t>
      </w:r>
      <w:r>
        <w:rPr>
          <w:rFonts w:ascii="Arial" w:hAnsi="Arial" w:cs="Arial" w:eastAsia="Arial"/>
          <w:spacing w:val="-1"/>
        </w:rPr>
        <w:t xml:space="preserve">  </w:t>
      </w:r>
      <w:r>
        <w:rPr>
          <w:rFonts w:ascii="Arial" w:hAnsi="Arial" w:cs="Arial" w:eastAsia="Arial"/>
        </w:rPr>
        <w:t xml:space="preserve">  Data</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5"/>
        <w:ind w:left="240" w:right="329"/>
      </w:pPr>
      <w:r>
        <w:rPr>
          <w:rFonts w:ascii="Arial" w:hAnsi="Arial" w:cs="Arial" w:eastAsia="Arial"/>
        </w:rPr>
        <w:t>A CRF is required and must be completed for each subject by qualified and authorized personnel. All data on the CRF must reflect the corresponding source document, except when a section of the CRF itself is used as the source document. Any correction to entries made on the CRF must be documented in a valid audit trail where the correction is dated, the individual making the correction is identified, the reason for the change is stated, and the original data are not obscured. Only data required by the protocol for the purposes of the study should be collected.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02"/>
      </w:pPr>
      <w:r>
        <w:rPr>
          <w:rFonts w:ascii="Arial" w:hAnsi="Arial" w:cs="Arial" w:eastAsia="Arial"/>
        </w:rPr>
        <w:t>The investigator must sign each CRF. The investigator will report the CRFs to the sponsor and retain a copy of the CRFs.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0" w:after="0"/>
        <w:ind w:left="960" w:right="0" w:hanging="720"/>
        <w:jc w:val="left"/>
      </w:pPr>
      <w:bookmarkStart w:name="11.5 Identification of Source Data" w:id="340"/>
      <w:bookmarkEnd w:id="340"/>
      <w:r>
        <w:rPr>
          <w:rFonts w:ascii="Arial" w:hAnsi="Arial" w:cs="Arial" w:eastAsia="Arial"/>
          <w:b w:val="0"/>
        </w:rPr>
      </w:r>
      <w:bookmarkStart w:name="_bookmark126" w:id="341"/>
      <w:bookmarkEnd w:id="341"/>
      <w:r>
        <w:rPr>
          <w:rFonts w:ascii="Arial" w:hAnsi="Arial" w:cs="Arial" w:eastAsia="Arial"/>
          <w:b w:val="0"/>
        </w:rPr>
      </w:r>
      <w:bookmarkStart w:name="_bookmark126" w:id="342"/>
      <w:bookmarkEnd w:id="342"/>
      <w:r>
        <w:rPr>
          <w:rFonts w:ascii="Arial" w:hAnsi="Arial" w:cs="Arial" w:eastAsia="Arial"/>
        </w:rPr>
        <w:t>Identification</w:t>
      </w:r>
      <w:r>
        <w:rPr>
          <w:rFonts w:ascii="Arial" w:hAnsi="Arial" w:cs="Arial" w:eastAsia="Arial"/>
        </w:rPr>
        <w:t xml:space="preserve">  of Source</w:t>
      </w:r>
      <w:r>
        <w:rPr>
          <w:rFonts w:ascii="Arial" w:hAnsi="Arial" w:cs="Arial" w:eastAsia="Arial"/>
          <w:spacing w:val="-1"/>
        </w:rPr>
        <w:t xml:space="preserve">  </w:t>
      </w:r>
      <w:r>
        <w:rPr>
          <w:rFonts w:ascii="Arial" w:hAnsi="Arial" w:cs="Arial" w:eastAsia="Arial"/>
        </w:rPr>
        <w:t xml:space="preserve">  Data</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40"/>
      </w:pPr>
      <w:r>
        <w:rPr>
          <w:rFonts w:ascii="Arial" w:hAnsi="Arial" w:cs="Arial" w:eastAsia="Arial"/>
        </w:rPr>
        <w:t>All data to be recorded on the CRF must reflect the corresponding source documents.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0" w:after="0"/>
        <w:ind w:left="960" w:right="0" w:hanging="720"/>
        <w:jc w:val="left"/>
      </w:pPr>
      <w:bookmarkStart w:name="11.6 Retention of Records" w:id="343"/>
      <w:bookmarkEnd w:id="343"/>
      <w:r>
        <w:rPr>
          <w:rFonts w:ascii="Arial" w:hAnsi="Arial" w:cs="Arial" w:eastAsia="Arial"/>
          <w:b w:val="0"/>
        </w:rPr>
      </w:r>
      <w:bookmarkStart w:name="_bookmark127" w:id="344"/>
      <w:bookmarkEnd w:id="344"/>
      <w:r>
        <w:rPr>
          <w:rFonts w:ascii="Arial" w:hAnsi="Arial" w:cs="Arial" w:eastAsia="Arial"/>
          <w:b w:val="0"/>
        </w:rPr>
      </w:r>
      <w:bookmarkStart w:name="_bookmark127" w:id="345"/>
      <w:bookmarkEnd w:id="345"/>
      <w:r>
        <w:rPr>
          <w:rFonts w:ascii="Arial" w:hAnsi="Arial" w:cs="Arial" w:eastAsia="Arial"/>
        </w:rPr>
        <w:t>Retention</w:t>
      </w:r>
      <w:r>
        <w:rPr>
          <w:rFonts w:ascii="Arial" w:hAnsi="Arial" w:cs="Arial" w:eastAsia="Arial"/>
        </w:rPr>
        <w:t xml:space="preserve">  of</w:t>
      </w:r>
      <w:r>
        <w:rPr>
          <w:rFonts w:ascii="Arial" w:hAnsi="Arial" w:cs="Arial" w:eastAsia="Arial"/>
          <w:spacing w:val="-1"/>
        </w:rPr>
        <w:t xml:space="preserve">  </w:t>
      </w:r>
      <w:r>
        <w:rPr>
          <w:rFonts w:ascii="Arial" w:hAnsi="Arial" w:cs="Arial" w:eastAsia="Arial"/>
        </w:rPr>
        <w:t xml:space="preserve">  Records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4"/>
        <w:ind w:left="240" w:right="295"/>
      </w:pPr>
      <w:r>
        <w:rPr>
          <w:rFonts w:ascii="Arial" w:hAnsi="Arial" w:cs="Arial" w:eastAsia="Arial"/>
        </w:rPr>
        <w:t>The circumstances of completion or termination of the study notwithstanding, the investigator is responsible for retaining all study documents, including but not limited to the protocol, copies of CRFs, the Investigator's Brochure, and regulatory agency registration documents (eg, Form FDA 1572, ICFs, and IRB correspondence). In addition, the sponsor will send a list of treatment codes by study subject to the investigator after the clinical database for this study has been locked. The site should plan to retain study documents, as directed by the sponsor, for at least 2 years after the last approval of a marketing application in an ICH region and until there are no pending or contemplated marketing applications in an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949"/>
      </w:pPr>
      <w:r>
        <w:rPr>
          <w:rFonts w:ascii="Arial" w:hAnsi="Arial" w:cs="Arial" w:eastAsia="Arial"/>
        </w:rPr>
        <w:t>ICH region or at least 3 years have elapsed since the formal discontinuation of clinical development of the investigational product.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469"/>
      </w:pPr>
      <w:r>
        <w:rPr>
          <w:rFonts w:ascii="Arial" w:hAnsi="Arial" w:cs="Arial" w:eastAsia="Arial"/>
        </w:rPr>
        <w:t>It is requested that at the completion of the required retention period, or should the investigator retire or relocate, the investigator contact the sponsor, allowing the sponsor the option of permanently retaining the study records.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0" w:after="0"/>
        <w:ind w:left="960" w:right="0" w:hanging="720"/>
        <w:jc w:val="left"/>
      </w:pPr>
      <w:bookmarkStart w:name="11.7 Auditing Procedures and Inspection" w:id="346"/>
      <w:bookmarkEnd w:id="346"/>
      <w:r>
        <w:rPr>
          <w:rFonts w:ascii="Arial" w:hAnsi="Arial" w:cs="Arial" w:eastAsia="Arial"/>
          <w:b w:val="0"/>
        </w:rPr>
      </w:r>
      <w:bookmarkStart w:name="_bookmark128" w:id="347"/>
      <w:bookmarkEnd w:id="347"/>
      <w:r>
        <w:rPr>
          <w:rFonts w:ascii="Arial" w:hAnsi="Arial" w:cs="Arial" w:eastAsia="Arial"/>
          <w:b w:val="0"/>
        </w:rPr>
      </w:r>
      <w:bookmarkStart w:name="_bookmark128" w:id="348"/>
      <w:bookmarkEnd w:id="348"/>
      <w:r>
        <w:rPr>
          <w:rFonts w:ascii="Arial" w:hAnsi="Arial" w:cs="Arial" w:eastAsia="Arial"/>
        </w:rPr>
        <w:t>A</w:t>
      </w:r>
      <w:r>
        <w:rPr>
          <w:rFonts w:ascii="Arial" w:hAnsi="Arial" w:cs="Arial" w:eastAsia="Arial"/>
        </w:rPr>
        <w:t>uditing Procedures and</w:t>
      </w:r>
      <w:r>
        <w:rPr>
          <w:rFonts w:ascii="Arial" w:hAnsi="Arial" w:cs="Arial" w:eastAsia="Arial"/>
          <w:spacing w:val="-1"/>
        </w:rPr>
        <w:t xml:space="preserve">  </w:t>
      </w:r>
      <w:r>
        <w:rPr>
          <w:rFonts w:ascii="Arial" w:hAnsi="Arial" w:cs="Arial" w:eastAsia="Arial"/>
        </w:rPr>
        <w:t xml:space="preserve">  Inspection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40" w:right="302"/>
      </w:pPr>
      <w:r>
        <w:rPr>
          <w:rFonts w:ascii="Arial" w:hAnsi="Arial" w:cs="Arial" w:eastAsia="Arial"/>
        </w:rPr>
        <w:t>In addition to routine monitoring procedures, the sponsor’s Clinical Quality Assurance department conducts audits of clinical research activities in accordance with the sponsor’s SOPs to evaluate compliance with the principles of ICH GCP and all applicable local regulations. If a government regulatory authority requests an inspection during the study or after its completion, the investigator must inform the sponsor immediately.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1" w:after="0"/>
        <w:ind w:left="960" w:right="0" w:hanging="720"/>
        <w:jc w:val="left"/>
      </w:pPr>
      <w:bookmarkStart w:name="11.8 Handling of Study Drug" w:id="349"/>
      <w:bookmarkEnd w:id="349"/>
      <w:r>
        <w:rPr>
          <w:rFonts w:ascii="Arial" w:hAnsi="Arial" w:cs="Arial" w:eastAsia="Arial"/>
          <w:b w:val="0"/>
        </w:rPr>
      </w:r>
      <w:bookmarkStart w:name="_bookmark129" w:id="350"/>
      <w:bookmarkEnd w:id="350"/>
      <w:r>
        <w:rPr>
          <w:rFonts w:ascii="Arial" w:hAnsi="Arial" w:cs="Arial" w:eastAsia="Arial"/>
          <w:b w:val="0"/>
        </w:rPr>
      </w:r>
      <w:bookmarkStart w:name="_bookmark129" w:id="351"/>
      <w:bookmarkEnd w:id="351"/>
      <w:r>
        <w:rPr>
          <w:rFonts w:ascii="Arial" w:hAnsi="Arial" w:cs="Arial" w:eastAsia="Arial"/>
        </w:rPr>
        <w:t>Handling</w:t>
      </w:r>
      <w:r>
        <w:rPr>
          <w:rFonts w:ascii="Arial" w:hAnsi="Arial" w:cs="Arial" w:eastAsia="Arial"/>
        </w:rPr>
        <w:t xml:space="preserve">  of Study</w:t>
      </w:r>
      <w:r>
        <w:rPr>
          <w:rFonts w:ascii="Arial" w:hAnsi="Arial" w:cs="Arial" w:eastAsia="Arial"/>
          <w:spacing w:val="-4"/>
        </w:rPr>
        <w:t xml:space="preserve">  </w:t>
      </w:r>
      <w:r>
        <w:rPr>
          <w:rFonts w:ascii="Arial" w:hAnsi="Arial" w:cs="Arial" w:eastAsia="Arial"/>
        </w:rPr>
        <w:t xml:space="preserve">  Drug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6"/>
        <w:ind w:left="240" w:right="296"/>
      </w:pPr>
      <w:r>
        <w:rPr>
          <w:rFonts w:ascii="Arial" w:hAnsi="Arial" w:cs="Arial" w:eastAsia="Arial"/>
        </w:rPr>
        <w:t>All study drugs will be supplied to the principal investigator (or a designated pharmacist) by the sponsor. Drug supplies must be kept in an appropriate secure area (eg, locked cabinet) and stored according to the conditions specified on the drug labels. The investigator (or a designated pharmacist) must maintain an accurate record of the shipment and dispensing of the study drug in a drug accountability ledger, a copy of which must be given to the sponsor at the end of the study. An accurate record of the date and amount of study drug dispensed to each subject must be available for inspection at any time. The CRA will visit the site and review these documents along with all other study conduct documents at appropriate intervals once study drug has been received by the</w:t>
      </w:r>
      <w:r>
        <w:rPr>
          <w:rFonts w:ascii="Arial" w:hAnsi="Arial" w:cs="Arial" w:eastAsia="Arial"/>
          <w:spacing w:val="-13"/>
        </w:rPr>
        <w:t xml:space="preserve">  </w:t>
      </w:r>
      <w:r>
        <w:rPr>
          <w:rFonts w:ascii="Arial" w:hAnsi="Arial" w:cs="Arial" w:eastAsia="Arial"/>
        </w:rPr>
        <w:t xml:space="preserve">  site.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28"/>
      </w:pPr>
      <w:r>
        <w:rPr>
          <w:rFonts w:ascii="Arial" w:hAnsi="Arial" w:cs="Arial" w:eastAsia="Arial"/>
        </w:rPr>
        <w:t>All drug supplies are to be used only for this study and not for any other purpose. The investigator (or site personnel) must not destroy any drug labels or any partly used or unused drug supply before approval to do so by the sponsor. At the conclusion of the study, or upon notification of the sponsor, and as appropriate during the study, the investigator (or a designated pharmacist) will return all used and unused drug containers, drug labels, and a copy of the completed drug disposition form to the sponsor’s CRA or, when approval is given by the sponsor, will destroy supplies and containers at the site.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59" w:val="left" w:leader="none"/>
          <w:tab w:pos="960" w:val="left" w:leader="none"/>
        </w:tabs>
        <w:spacing w:line="240" w:lineRule="auto" w:before="1" w:after="0"/>
        <w:ind w:left="960" w:right="0" w:hanging="720"/>
        <w:jc w:val="left"/>
      </w:pPr>
      <w:bookmarkStart w:name="11.9 Publication of Results" w:id="352"/>
      <w:bookmarkEnd w:id="352"/>
      <w:r>
        <w:rPr>
          <w:rFonts w:ascii="Arial" w:hAnsi="Arial" w:cs="Arial" w:eastAsia="Arial"/>
          <w:b w:val="0"/>
        </w:rPr>
      </w:r>
      <w:bookmarkStart w:name="_bookmark130" w:id="353"/>
      <w:bookmarkEnd w:id="353"/>
      <w:r>
        <w:rPr>
          <w:rFonts w:ascii="Arial" w:hAnsi="Arial" w:cs="Arial" w:eastAsia="Arial"/>
          <w:b w:val="0"/>
        </w:rPr>
      </w:r>
      <w:bookmarkStart w:name="_bookmark130" w:id="354"/>
      <w:bookmarkEnd w:id="354"/>
      <w:r>
        <w:rPr>
          <w:rFonts w:ascii="Arial" w:hAnsi="Arial" w:cs="Arial" w:eastAsia="Arial"/>
        </w:rPr>
        <w:t>Publication</w:t>
      </w:r>
      <w:r>
        <w:rPr>
          <w:rFonts w:ascii="Arial" w:hAnsi="Arial" w:cs="Arial" w:eastAsia="Arial"/>
        </w:rPr>
        <w:t xml:space="preserve">  of</w:t>
      </w:r>
      <w:r>
        <w:rPr>
          <w:rFonts w:ascii="Arial" w:hAnsi="Arial" w:cs="Arial" w:eastAsia="Arial"/>
          <w:spacing w:val="-1"/>
        </w:rPr>
        <w:t xml:space="preserve">  </w:t>
      </w:r>
      <w:r>
        <w:rPr>
          <w:rFonts w:ascii="Arial" w:hAnsi="Arial" w:cs="Arial" w:eastAsia="Arial"/>
        </w:rPr>
        <w:t xml:space="preserve">  Results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4"/>
        <w:ind w:left="240" w:right="353"/>
      </w:pPr>
      <w:r>
        <w:rPr>
          <w:rFonts w:ascii="Arial" w:hAnsi="Arial" w:cs="Arial" w:eastAsia="Arial"/>
        </w:rPr>
        <w:t>All manuscripts, abstracts, or other modes of presentation arising from the results of the study must be reviewed and approved in writing by the sponsor in advance of submission pursuant to the terms and conditions set forth in the executed Clinical Trial Agreement between the sponsor/CRO and the institution/investigator. The review is aimed at protecting the sponsor's proprietary information existing either at the date of the commencement of the study or generated during the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729"/>
      </w:pPr>
      <w:r>
        <w:rPr>
          <w:rFonts w:ascii="Arial" w:hAnsi="Arial" w:cs="Arial" w:eastAsia="Arial"/>
        </w:rPr>
        <w:t>The detailed obligations regarding the publication of any data, material results, or other information generated or created in relation to the study shall be set out in the agreement between each investigator and the sponsor or CRO, as appropriate.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60" w:val="left" w:leader="none"/>
        </w:tabs>
        <w:spacing w:line="240" w:lineRule="auto" w:before="84" w:after="0"/>
        <w:ind w:left="960" w:right="0" w:hanging="720"/>
        <w:jc w:val="left"/>
      </w:pPr>
      <w:bookmarkStart w:name="11.10 Disclosure and Confidentiality" w:id="355"/>
      <w:bookmarkEnd w:id="355"/>
      <w:r>
        <w:rPr>
          <w:rFonts w:ascii="Arial" w:hAnsi="Arial" w:cs="Arial" w:eastAsia="Arial"/>
          <w:b w:val="0"/>
        </w:rPr>
      </w:r>
      <w:bookmarkStart w:name="_bookmark131" w:id="356"/>
      <w:bookmarkEnd w:id="356"/>
      <w:r>
        <w:rPr>
          <w:rFonts w:ascii="Arial" w:hAnsi="Arial" w:cs="Arial" w:eastAsia="Arial"/>
          <w:b w:val="0"/>
        </w:rPr>
      </w:r>
      <w:bookmarkStart w:name="_bookmark131" w:id="357"/>
      <w:bookmarkEnd w:id="357"/>
      <w:r>
        <w:rPr>
          <w:rFonts w:ascii="Arial" w:hAnsi="Arial" w:cs="Arial" w:eastAsia="Arial"/>
        </w:rPr>
        <w:t>Disclosure</w:t>
      </w:r>
      <w:r>
        <w:rPr>
          <w:rFonts w:ascii="Arial" w:hAnsi="Arial" w:cs="Arial" w:eastAsia="Arial"/>
        </w:rPr>
        <w:t xml:space="preserve">  and</w:t>
      </w:r>
      <w:r>
        <w:rPr>
          <w:rFonts w:ascii="Arial" w:hAnsi="Arial" w:cs="Arial" w:eastAsia="Arial"/>
          <w:spacing w:val="-1"/>
        </w:rPr>
        <w:t xml:space="preserve">  </w:t>
      </w:r>
      <w:r>
        <w:rPr>
          <w:rFonts w:ascii="Arial" w:hAnsi="Arial" w:cs="Arial" w:eastAsia="Arial"/>
        </w:rPr>
        <w:t xml:space="preserve">  Confidentiality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40" w:right="273"/>
      </w:pPr>
      <w:r>
        <w:rPr>
          <w:rFonts w:ascii="Arial" w:hAnsi="Arial" w:cs="Arial" w:eastAsia="Arial"/>
        </w:rPr>
        <w:t>The contents of this protocol and any amendments and results obtained during the study should be kept confidential by the investigator, the investigator’s staff, and the </w:t>
      </w:r>
      <w:r>
        <w:rPr>
          <w:rFonts w:ascii="Arial" w:hAnsi="Arial" w:cs="Arial" w:eastAsia="Arial"/>
          <w:spacing w:val="-3"/>
        </w:rPr>
        <w:t xml:space="preserve">  IRB </w:t>
      </w:r>
      <w:r>
        <w:rPr>
          <w:rFonts w:ascii="Arial" w:hAnsi="Arial" w:cs="Arial" w:eastAsia="Arial"/>
        </w:rPr>
        <w:t xml:space="preserve">  and will not be disclosed in whole or in part to others, or used for any purpose other than reviewing or performing the study, without the written consent of the sponsor. No data collected as part of this study will be used in any written work, including publications, without the written consent of the sponsor. These obligations of confidentiality and non-use shall in no way diminish such obligations as set forth in either the Confidentiality Agreement or Clinical Trial Agreement executed between the sponsor/CRO and the</w:t>
      </w:r>
      <w:r>
        <w:rPr>
          <w:rFonts w:ascii="Arial" w:hAnsi="Arial" w:cs="Arial" w:eastAsia="Arial"/>
          <w:spacing w:val="-12"/>
        </w:rPr>
        <w:t xml:space="preserve">  </w:t>
      </w:r>
      <w:r>
        <w:rPr>
          <w:rFonts w:ascii="Arial" w:hAnsi="Arial" w:cs="Arial" w:eastAsia="Arial"/>
        </w:rPr>
        <w:t xml:space="preserve">  institution/investigator.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7"/>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9"/>
      </w:pPr>
      <w:r>
        <w:rPr>
          <w:rFonts w:ascii="Arial" w:hAnsi="Arial" w:cs="Arial" w:eastAsia="Arial"/>
        </w:rPr>
        <w:t>All persons assisting in the performance of this study must be bound by the obligations of confidentiality and non-use set forth in either the Confidentiality Agreement or Clinical Trial Agreement executed between the institution/investigator and the sponsor/CRO.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60" w:val="left" w:leader="none"/>
        </w:tabs>
        <w:spacing w:line="240" w:lineRule="auto" w:before="0" w:after="0"/>
        <w:ind w:left="960" w:right="0" w:hanging="720"/>
        <w:jc w:val="left"/>
      </w:pPr>
      <w:bookmarkStart w:name="11.11 Discontinuation of Study" w:id="358"/>
      <w:bookmarkEnd w:id="358"/>
      <w:r>
        <w:rPr>
          <w:rFonts w:ascii="Arial" w:hAnsi="Arial" w:cs="Arial" w:eastAsia="Arial"/>
          <w:b w:val="0"/>
        </w:rPr>
      </w:r>
      <w:bookmarkStart w:name="_bookmark132" w:id="359"/>
      <w:bookmarkEnd w:id="359"/>
      <w:r>
        <w:rPr>
          <w:rFonts w:ascii="Arial" w:hAnsi="Arial" w:cs="Arial" w:eastAsia="Arial"/>
          <w:b w:val="0"/>
        </w:rPr>
      </w:r>
      <w:bookmarkStart w:name="_bookmark132" w:id="360"/>
      <w:bookmarkEnd w:id="360"/>
      <w:r>
        <w:rPr>
          <w:rFonts w:ascii="Arial" w:hAnsi="Arial" w:cs="Arial" w:eastAsia="Arial"/>
        </w:rPr>
        <w:t>Discontinuation</w:t>
      </w:r>
      <w:r>
        <w:rPr>
          <w:rFonts w:ascii="Arial" w:hAnsi="Arial" w:cs="Arial" w:eastAsia="Arial"/>
        </w:rPr>
        <w:t xml:space="preserve">  of</w:t>
      </w:r>
      <w:r>
        <w:rPr>
          <w:rFonts w:ascii="Arial" w:hAnsi="Arial" w:cs="Arial" w:eastAsia="Arial"/>
          <w:spacing w:val="-1"/>
        </w:rPr>
        <w:t xml:space="preserve">  </w:t>
      </w:r>
      <w:r>
        <w:rPr>
          <w:rFonts w:ascii="Arial" w:hAnsi="Arial" w:cs="Arial" w:eastAsia="Arial"/>
        </w:rPr>
        <w:t xml:space="preserv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40" w:right="308"/>
      </w:pPr>
      <w:r>
        <w:rPr>
          <w:rFonts w:ascii="Arial" w:hAnsi="Arial" w:cs="Arial" w:eastAsia="Arial"/>
        </w:rPr>
        <w:t>The sponsor reserves the right to discontinue the study for medical reasons or any other reason at any time. If a study is prematurely terminated or suspended, the sponsor will promptly inform the investigators/institutions and regulatory authorities of the termination or suspension and the reason(s) for the termination or suspension. The IRB will also be informed promptly and provided the reason(s) for the termination or suspension by the sponsor or by the investigator/institution, as specified by the applicable regulatory requirement(s).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668"/>
      </w:pPr>
      <w:r>
        <w:rPr>
          <w:rFonts w:ascii="Arial" w:hAnsi="Arial" w:cs="Arial" w:eastAsia="Arial"/>
        </w:rPr>
        <w:t>The investigator reserves the right to discontinue the study should his/her judgment so dictate. If the investigator terminates or suspends a study without prior agreement of the sponsor, the investigator should inform the institution where applicable, and the investigator/institution should promptly inform the sponsor and the IRB and provide the sponsor and the IRB with a detailed written explanation of the termination or suspension. Study records must be retained as noted above.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1"/>
          <w:numId w:val="29"/>
        </w:numPr>
        <w:tabs>
          <w:tab w:pos="960" w:val="left" w:leader="none"/>
        </w:tabs>
        <w:spacing w:line="240" w:lineRule="auto" w:before="0" w:after="0"/>
        <w:ind w:left="960" w:right="0" w:hanging="720"/>
        <w:jc w:val="left"/>
      </w:pPr>
      <w:bookmarkStart w:name="11.12 Subject Insurance and Indemnity" w:id="361"/>
      <w:bookmarkEnd w:id="361"/>
      <w:r>
        <w:rPr>
          <w:rFonts w:ascii="Arial" w:hAnsi="Arial" w:cs="Arial" w:eastAsia="Arial"/>
          <w:b w:val="0"/>
        </w:rPr>
      </w:r>
      <w:bookmarkStart w:name="_bookmark133" w:id="362"/>
      <w:bookmarkEnd w:id="362"/>
      <w:r>
        <w:rPr>
          <w:rFonts w:ascii="Arial" w:hAnsi="Arial" w:cs="Arial" w:eastAsia="Arial"/>
          <w:b w:val="0"/>
        </w:rPr>
      </w:r>
      <w:bookmarkStart w:name="_bookmark133" w:id="363"/>
      <w:bookmarkEnd w:id="363"/>
      <w:r>
        <w:rPr>
          <w:rFonts w:ascii="Arial" w:hAnsi="Arial" w:cs="Arial" w:eastAsia="Arial"/>
        </w:rPr>
        <w:t>Subject</w:t>
      </w:r>
      <w:r>
        <w:rPr>
          <w:rFonts w:ascii="Arial" w:hAnsi="Arial" w:cs="Arial" w:eastAsia="Arial"/>
        </w:rPr>
        <w:t xml:space="preserve">  Insurance and</w:t>
      </w:r>
      <w:r>
        <w:rPr>
          <w:rFonts w:ascii="Arial" w:hAnsi="Arial" w:cs="Arial" w:eastAsia="Arial"/>
          <w:spacing w:val="-1"/>
        </w:rPr>
        <w:t xml:space="preserve">  </w:t>
      </w:r>
      <w:r>
        <w:rPr>
          <w:rFonts w:ascii="Arial" w:hAnsi="Arial" w:cs="Arial" w:eastAsia="Arial"/>
        </w:rPr>
        <w:t xml:space="preserve">  Indemnity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4"/>
        <w:ind w:left="240" w:right="435"/>
      </w:pPr>
      <w:r>
        <w:rPr>
          <w:rFonts w:ascii="Arial" w:hAnsi="Arial" w:cs="Arial" w:eastAsia="Arial"/>
        </w:rPr>
        <w:t>The sponsor will provide insurance for any subjects participating in the study in accordance with all applicable laws and regulations.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numPr>
          <w:ilvl w:val="0"/>
          <w:numId w:val="29"/>
        </w:numPr>
        <w:tabs>
          <w:tab w:pos="720" w:val="left" w:leader="none"/>
        </w:tabs>
        <w:spacing w:line="240" w:lineRule="auto" w:before="84" w:after="0"/>
        <w:ind w:left="720" w:right="0" w:hanging="480"/>
        <w:jc w:val="left"/>
      </w:pPr>
      <w:bookmarkStart w:name="12 APPENDICES" w:id="364"/>
      <w:bookmarkEnd w:id="364"/>
      <w:r>
        <w:rPr>
          <w:rFonts w:ascii="Arial" w:hAnsi="Arial" w:cs="Arial" w:eastAsia="Arial"/>
          <w:b w:val="0"/>
        </w:rPr>
      </w:r>
      <w:bookmarkStart w:name="_bookmark134" w:id="365"/>
      <w:bookmarkEnd w:id="365"/>
      <w:r>
        <w:rPr>
          <w:rFonts w:ascii="Arial" w:hAnsi="Arial" w:cs="Arial" w:eastAsia="Arial"/>
          <w:b w:val="0"/>
        </w:rPr>
      </w:r>
      <w:bookmarkStart w:name="_bookmark134" w:id="366"/>
      <w:bookmarkEnd w:id="366"/>
      <w:r>
        <w:rPr>
          <w:rFonts w:ascii="Arial" w:hAnsi="Arial" w:cs="Arial" w:eastAsia="Arial"/>
        </w:rPr>
        <w:t>A</w:t>
      </w:r>
      <w:r>
        <w:rPr>
          <w:rFonts w:ascii="Arial" w:hAnsi="Arial" w:cs="Arial" w:eastAsia="Arial"/>
        </w:rPr>
        <w:t>PPENDICES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tabs>
          <w:tab w:pos="2399" w:val="left" w:leader="none"/>
        </w:tabs>
        <w:spacing w:before="84"/>
        <w:ind w:left="240" w:firstLine="0"/>
      </w:pPr>
      <w:bookmarkStart w:name="_bookmark135" w:id="367"/>
      <w:bookmarkEnd w:id="367"/>
      <w:r>
        <w:rPr>
          <w:rFonts w:ascii="Arial" w:hAnsi="Arial" w:cs="Arial" w:eastAsia="Arial"/>
          <w:b w:val="0"/>
        </w:rPr>
      </w:r>
      <w:r>
        <w:rPr>
          <w:rFonts w:ascii="Arial" w:hAnsi="Arial" w:cs="Arial" w:eastAsia="Arial"/>
        </w:rPr>
        <w:t>Appendix</w:t>
      </w:r>
      <w:r>
        <w:rPr>
          <w:rFonts w:ascii="Arial" w:hAnsi="Arial" w:cs="Arial" w:eastAsia="Arial"/>
          <w:spacing w:val="-3"/>
        </w:rPr>
        <w:t xml:space="preserve">  </w:t>
      </w:r>
      <w:r>
        <w:rPr>
          <w:rFonts w:ascii="Arial" w:hAnsi="Arial" w:cs="Arial" w:eastAsia="Arial"/>
        </w:rPr>
        <w:t xml:space="preserve">  1</w:t>
        <w:tab/>
        <w:t>Sponsor’s Grading for Laboratory</w:t>
      </w:r>
      <w:r>
        <w:rPr>
          <w:rFonts w:ascii="Arial" w:hAnsi="Arial" w:cs="Arial" w:eastAsia="Arial"/>
          <w:spacing w:val="-8"/>
        </w:rPr>
        <w:t xml:space="preserve">  </w:t>
      </w:r>
      <w:r>
        <w:rPr>
          <w:rFonts w:ascii="Arial" w:hAnsi="Arial" w:cs="Arial" w:eastAsia="Arial"/>
        </w:rPr>
        <w:t xml:space="preserve">  Values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5"/>
        <w:rPr>
          <w:rFonts w:ascii="Arial"/>
          <w:b/>
          <w:sz w:val="27"/>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ind w:left="2633" w:right="2520"/>
        <w:jc w:val="center"/>
      </w:pPr>
      <w:r>
        <w:rPr>
          <w:rFonts w:ascii="Arial" w:hAnsi="Arial" w:cs="Arial" w:eastAsia="Arial"/>
        </w:rPr>
        <w:t>Sponsor’s Grading for Laboratory Values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b/>
          <w:sz w:val="6"/>
        </w:rPr>
      </w:pPr>
    </w:p>
    <w:tbl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tblPr>
        <w:tblW w:w="0" w:type="auto"/>
        <w:jc w:val="left"/>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54"/>
        <w:gridCol w:w="1648"/>
        <w:gridCol w:w="1648"/>
        <w:gridCol w:w="1698"/>
        <w:gridCol w:w="1547"/>
      </w:tblGrid>
      <w:tr>
        <w:trPr>
          <w:trHeight w:val="333" w:hRule="atLeast"/>
        </w:trPr>
        <w:tc>
          <w:tcPr>
            <w:tcW w:w="2654" w:type="dxa"/>
            <w:tcBorders>
              <w:left w:val="single" w:sz="6" w:space="0" w:color="000000"/>
              <w:bottom w:val="single" w:sz="6" w:space="0" w:color="000000"/>
              <w:right w:val="single" w:sz="6" w:space="0" w:color="000000"/>
            </w:tcBorders>
          </w:tcPr>
          <w:p>
            <w:pPr>
              <w:pStyle w:val="TableParagraph"/>
              <w:rPr>
                <w:sz w:val="16"/>
              </w:rPr>
            </w:pPr>
          </w:p>
        </w:tc>
        <w:tc>
          <w:tcPr>
            <w:tcW w:w="1648" w:type="dxa"/>
            <w:tcBorders>
              <w:left w:val="single" w:sz="6" w:space="0" w:color="000000"/>
              <w:bottom w:val="single" w:sz="6" w:space="0" w:color="000000"/>
              <w:right w:val="single" w:sz="6" w:space="0" w:color="000000"/>
            </w:tcBorders>
          </w:tcPr>
          <w:p>
            <w:pPr>
              <w:pStyle w:val="TableParagraph"/>
              <w:spacing w:before="71"/>
              <w:ind w:left="568"/>
              <w:rPr>
                <w:b/>
                <w:sz w:val="16"/>
              </w:rPr>
            </w:pPr>
            <w:r>
              <w:rPr>
                <w:rFonts w:ascii="Arial" w:hAnsi="Arial" w:cs="Arial" w:eastAsia="Arial"/>
                <w:b/>
                <w:sz w:val="16"/>
              </w:rPr>
              <w:t>Grade 1</w:t>
            </w:r>
          </w:p>
        </w:tc>
        <w:tc>
          <w:tcPr>
            <w:tcW w:w="1648" w:type="dxa"/>
            <w:tcBorders>
              <w:left w:val="single" w:sz="6" w:space="0" w:color="000000"/>
              <w:bottom w:val="single" w:sz="6" w:space="0" w:color="000000"/>
              <w:right w:val="single" w:sz="6" w:space="0" w:color="000000"/>
            </w:tcBorders>
          </w:tcPr>
          <w:p>
            <w:pPr>
              <w:pStyle w:val="TableParagraph"/>
              <w:spacing w:before="71"/>
              <w:ind w:right="505"/>
              <w:jc w:val="right"/>
              <w:rPr>
                <w:b/>
                <w:sz w:val="16"/>
              </w:rPr>
            </w:pPr>
            <w:r>
              <w:rPr>
                <w:rFonts w:ascii="Arial" w:hAnsi="Arial" w:cs="Arial" w:eastAsia="Arial"/>
                <w:b/>
                <w:sz w:val="16"/>
              </w:rPr>
              <w:t>Grade 2</w:t>
            </w:r>
          </w:p>
        </w:tc>
        <w:tc>
          <w:tcPr>
            <w:tcW w:w="1698" w:type="dxa"/>
            <w:tcBorders>
              <w:left w:val="single" w:sz="6" w:space="0" w:color="000000"/>
              <w:bottom w:val="single" w:sz="6" w:space="0" w:color="000000"/>
              <w:right w:val="single" w:sz="6" w:space="0" w:color="000000"/>
            </w:tcBorders>
          </w:tcPr>
          <w:p>
            <w:pPr>
              <w:pStyle w:val="TableParagraph"/>
              <w:spacing w:before="71"/>
              <w:ind w:left="594"/>
              <w:rPr>
                <w:b/>
                <w:sz w:val="16"/>
              </w:rPr>
            </w:pPr>
            <w:r>
              <w:rPr>
                <w:rFonts w:ascii="Arial" w:hAnsi="Arial" w:cs="Arial" w:eastAsia="Arial"/>
                <w:b/>
                <w:sz w:val="16"/>
              </w:rPr>
              <w:t>Grade 3</w:t>
            </w:r>
          </w:p>
        </w:tc>
        <w:tc>
          <w:tcPr>
            <w:tcW w:w="1547" w:type="dxa"/>
            <w:tcBorders>
              <w:left w:val="single" w:sz="6" w:space="0" w:color="000000"/>
              <w:bottom w:val="single" w:sz="6" w:space="0" w:color="000000"/>
              <w:right w:val="single" w:sz="6" w:space="0" w:color="000000"/>
            </w:tcBorders>
          </w:tcPr>
          <w:p>
            <w:pPr>
              <w:pStyle w:val="TableParagraph"/>
              <w:spacing w:before="71"/>
              <w:ind w:left="521"/>
              <w:rPr>
                <w:b/>
                <w:sz w:val="16"/>
              </w:rPr>
            </w:pPr>
            <w:r>
              <w:rPr>
                <w:rFonts w:ascii="Arial" w:hAnsi="Arial" w:cs="Arial" w:eastAsia="Arial"/>
                <w:b/>
                <w:sz w:val="16"/>
              </w:rPr>
              <w:t>Grade 4</w:t>
            </w:r>
          </w:p>
        </w:tc>
      </w:tr>
      <w:tr>
        <w:trPr>
          <w:trHeight w:val="335"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73"/>
              <w:ind w:left="74"/>
              <w:rPr>
                <w:b/>
                <w:sz w:val="16"/>
              </w:rPr>
            </w:pPr>
            <w:r>
              <w:rPr>
                <w:rFonts w:ascii="Arial" w:hAnsi="Arial" w:cs="Arial" w:eastAsia="Arial"/>
                <w:b/>
                <w:sz w:val="16"/>
              </w:rPr>
              <w:t>BLOOD/BONE MARROW</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rPr>
                <w:sz w:val="16"/>
              </w:rPr>
            </w:pPr>
          </w:p>
        </w:tc>
        <w:tc>
          <w:tcPr>
            <w:tcW w:w="1648" w:type="dxa"/>
            <w:tcBorders>
              <w:top w:val="single" w:sz="6" w:space="0" w:color="000000"/>
              <w:left w:val="single" w:sz="6" w:space="0" w:color="000000"/>
              <w:bottom w:val="single" w:sz="6" w:space="0" w:color="000000"/>
              <w:right w:val="single" w:sz="6" w:space="0" w:color="000000"/>
            </w:tcBorders>
          </w:tcPr>
          <w:p>
            <w:pPr>
              <w:pStyle w:val="TableParagraph"/>
              <w:rPr>
                <w:sz w:val="16"/>
              </w:rPr>
            </w:pPr>
          </w:p>
        </w:tc>
        <w:tc>
          <w:tcPr>
            <w:tcW w:w="1698" w:type="dxa"/>
            <w:tcBorders>
              <w:top w:val="single" w:sz="6" w:space="0" w:color="000000"/>
              <w:left w:val="single" w:sz="6" w:space="0" w:color="000000"/>
              <w:bottom w:val="single" w:sz="6" w:space="0" w:color="000000"/>
              <w:right w:val="single" w:sz="6" w:space="0" w:color="000000"/>
            </w:tcBorders>
          </w:tcPr>
          <w:p>
            <w:pPr>
              <w:pStyle w:val="TableParagraph"/>
              <w:rPr>
                <w:sz w:val="16"/>
              </w:rPr>
            </w:pPr>
          </w:p>
        </w:tc>
        <w:tc>
          <w:tcPr>
            <w:tcW w:w="1547" w:type="dxa"/>
            <w:tcBorders>
              <w:top w:val="single" w:sz="6" w:space="0" w:color="000000"/>
              <w:left w:val="single" w:sz="6" w:space="0" w:color="000000"/>
              <w:bottom w:val="single" w:sz="6" w:space="0" w:color="000000"/>
              <w:right w:val="single" w:sz="6" w:space="0" w:color="000000"/>
            </w:tcBorders>
          </w:tcPr>
          <w:p>
            <w:pPr>
              <w:pStyle w:val="TableParagraph"/>
              <w:rPr>
                <w:sz w:val="16"/>
              </w:rPr>
            </w:pPr>
          </w:p>
        </w:tc>
      </w:tr>
      <w:tr>
        <w:trPr>
          <w:trHeight w:val="1065"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rPr>
                <w:b/>
                <w:sz w:val="18"/>
              </w:rPr>
            </w:pPr>
          </w:p>
          <w:p>
            <w:pPr>
              <w:pStyle w:val="TableParagraph"/>
              <w:spacing w:before="10"/>
              <w:rPr>
                <w:b/>
                <w:sz w:val="19"/>
              </w:rPr>
            </w:pPr>
          </w:p>
          <w:p>
            <w:pPr>
              <w:pStyle w:val="TableParagraph"/>
              <w:ind w:left="74"/>
              <w:rPr>
                <w:sz w:val="16"/>
              </w:rPr>
            </w:pPr>
            <w:r>
              <w:rPr>
                <w:rFonts w:ascii="Arial" w:hAnsi="Arial" w:cs="Arial" w:eastAsia="Arial"/>
                <w:sz w:val="16"/>
              </w:rPr>
              <w:t>Hemoglobin</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
              <w:rPr>
                <w:b/>
                <w:sz w:val="16"/>
              </w:rPr>
            </w:pPr>
          </w:p>
          <w:p>
            <w:pPr>
              <w:pStyle w:val="TableParagraph"/>
              <w:ind w:left="72"/>
              <w:rPr>
                <w:sz w:val="16"/>
              </w:rPr>
            </w:pPr>
            <w:r>
              <w:rPr>
                <w:rFonts w:ascii="Arial" w:hAnsi="Arial" w:cs="Arial" w:eastAsia="Arial"/>
                <w:sz w:val="16"/>
              </w:rPr>
              <w:t>&lt;LLN – 10.0 g/dL</w:t>
            </w:r>
          </w:p>
          <w:p>
            <w:pPr>
              <w:pStyle w:val="TableParagraph"/>
              <w:spacing w:before="61"/>
              <w:ind w:left="72"/>
              <w:rPr>
                <w:sz w:val="16"/>
              </w:rPr>
            </w:pPr>
            <w:r>
              <w:rPr>
                <w:rFonts w:ascii="Arial" w:hAnsi="Arial" w:cs="Arial" w:eastAsia="Arial"/>
                <w:sz w:val="16"/>
              </w:rPr>
              <w:t>&lt;LLN – 100 g/L</w:t>
            </w:r>
          </w:p>
          <w:p>
            <w:pPr>
              <w:pStyle w:val="TableParagraph"/>
              <w:spacing w:before="58"/>
              <w:ind w:left="72"/>
              <w:rPr>
                <w:sz w:val="16"/>
              </w:rPr>
            </w:pPr>
            <w:r>
              <w:rPr>
                <w:rFonts w:ascii="Arial" w:hAnsi="Arial" w:cs="Arial" w:eastAsia="Arial"/>
                <w:sz w:val="16"/>
              </w:rPr>
              <w:t>&lt;LLN – 6.2 mmol/L</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
              <w:rPr>
                <w:b/>
                <w:sz w:val="16"/>
              </w:rPr>
            </w:pPr>
          </w:p>
          <w:p>
            <w:pPr>
              <w:pStyle w:val="TableParagraph"/>
              <w:ind w:left="72"/>
              <w:rPr>
                <w:sz w:val="16"/>
              </w:rPr>
            </w:pPr>
            <w:r>
              <w:rPr>
                <w:rFonts w:ascii="Arial" w:hAnsi="Arial" w:cs="Arial" w:eastAsia="Arial"/>
                <w:sz w:val="16"/>
              </w:rPr>
              <w:t>&lt;10.0 – 8.0 g/dL</w:t>
            </w:r>
          </w:p>
          <w:p>
            <w:pPr>
              <w:pStyle w:val="TableParagraph"/>
              <w:spacing w:before="61"/>
              <w:ind w:left="72"/>
              <w:rPr>
                <w:sz w:val="16"/>
              </w:rPr>
            </w:pPr>
            <w:r>
              <w:rPr>
                <w:rFonts w:ascii="Arial" w:hAnsi="Arial" w:cs="Arial" w:eastAsia="Arial"/>
                <w:sz w:val="16"/>
              </w:rPr>
              <w:t>&lt;100 – 80 g/L</w:t>
            </w:r>
          </w:p>
          <w:p>
            <w:pPr>
              <w:pStyle w:val="TableParagraph"/>
              <w:spacing w:before="58"/>
              <w:ind w:left="72"/>
              <w:rPr>
                <w:sz w:val="16"/>
              </w:rPr>
            </w:pPr>
            <w:r>
              <w:rPr>
                <w:rFonts w:ascii="Arial" w:hAnsi="Arial" w:cs="Arial" w:eastAsia="Arial"/>
                <w:sz w:val="16"/>
              </w:rPr>
              <w:t>&lt;6.2 – 4.9 mmol/L</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68"/>
              <w:ind w:left="73"/>
              <w:rPr>
                <w:sz w:val="16"/>
              </w:rPr>
            </w:pPr>
            <w:r>
              <w:rPr>
                <w:rFonts w:ascii="Arial" w:hAnsi="Arial" w:cs="Arial" w:eastAsia="Arial"/>
                <w:sz w:val="16"/>
              </w:rPr>
              <w:t>&lt;8.0 g/dL</w:t>
            </w:r>
          </w:p>
          <w:p>
            <w:pPr>
              <w:pStyle w:val="TableParagraph"/>
              <w:spacing w:before="61"/>
              <w:ind w:left="73"/>
              <w:rPr>
                <w:sz w:val="16"/>
              </w:rPr>
            </w:pPr>
            <w:r>
              <w:rPr>
                <w:rFonts w:ascii="Arial" w:hAnsi="Arial" w:cs="Arial" w:eastAsia="Arial"/>
                <w:sz w:val="16"/>
              </w:rPr>
              <w:t>&lt;80 g/L</w:t>
            </w:r>
          </w:p>
          <w:p>
            <w:pPr>
              <w:pStyle w:val="TableParagraph"/>
              <w:spacing w:line="316" w:lineRule="auto" w:before="61"/>
              <w:ind w:left="73" w:right="252"/>
              <w:rPr>
                <w:sz w:val="16"/>
              </w:rPr>
            </w:pPr>
            <w:r>
              <w:rPr>
                <w:rFonts w:ascii="Arial" w:hAnsi="Arial" w:cs="Arial" w:eastAsia="Arial"/>
                <w:sz w:val="16"/>
              </w:rPr>
              <w:t>&lt;4.9 mmol/L; transfusion indicated</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9"/>
              <w:rPr>
                <w:b/>
                <w:sz w:val="21"/>
              </w:rPr>
            </w:pPr>
          </w:p>
          <w:p>
            <w:pPr>
              <w:pStyle w:val="TableParagraph"/>
              <w:ind w:left="74" w:right="38"/>
              <w:rPr>
                <w:sz w:val="16"/>
              </w:rPr>
            </w:pPr>
            <w:r>
              <w:rPr>
                <w:rFonts w:ascii="Arial" w:hAnsi="Arial" w:cs="Arial" w:eastAsia="Arial"/>
                <w:sz w:val="16"/>
              </w:rPr>
              <w:t>life-threatening consequences; urgent intervention indicated</w:t>
            </w:r>
          </w:p>
        </w:tc>
      </w:tr>
      <w:tr>
        <w:trPr>
          <w:trHeight w:val="589"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2"/>
              <w:rPr>
                <w:b/>
                <w:sz w:val="17"/>
              </w:rPr>
            </w:pPr>
          </w:p>
          <w:p>
            <w:pPr>
              <w:pStyle w:val="TableParagraph"/>
              <w:spacing w:before="1"/>
              <w:ind w:left="74"/>
              <w:rPr>
                <w:sz w:val="16"/>
              </w:rPr>
            </w:pPr>
            <w:r>
              <w:rPr>
                <w:rFonts w:ascii="Arial" w:hAnsi="Arial" w:cs="Arial" w:eastAsia="Arial"/>
                <w:sz w:val="16"/>
              </w:rPr>
              <w:t>Leukocytes (total WBC)</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1"/>
              <w:ind w:left="72"/>
              <w:rPr>
                <w:sz w:val="16"/>
              </w:rPr>
            </w:pPr>
            <w:r>
              <w:rPr>
                <w:rFonts w:ascii="Arial" w:hAnsi="Arial" w:cs="Arial" w:eastAsia="Arial"/>
                <w:sz w:val="16"/>
              </w:rPr>
              <w:t>&lt;LLN –</w:t>
            </w:r>
            <w:r>
              <w:rPr>
                <w:rFonts w:ascii="Arial" w:hAnsi="Arial" w:cs="Arial" w:eastAsia="Arial"/>
                <w:spacing w:val="-1"/>
                <w:sz w:val="16"/>
              </w:rPr>
              <w:t> </w:t>
            </w:r>
            <w:r>
              <w:rPr>
                <w:rFonts w:ascii="Arial" w:hAnsi="Arial" w:cs="Arial" w:eastAsia="Arial"/>
                <w:sz w:val="16"/>
              </w:rPr>
              <w:t>3.0</w:t>
            </w:r>
            <w:r>
              <w:rPr>
                <w:rFonts w:ascii="Arial" w:hAnsi="Arial" w:cs="Arial" w:eastAsia="Arial"/>
                <w:sz w:val="16"/>
              </w:rPr>
              <w:t></w:t>
            </w:r>
            <w:r>
              <w:rPr>
                <w:rFonts w:ascii="Arial" w:hAnsi="Arial" w:cs="Arial" w:eastAsia="Arial"/>
                <w:sz w:val="16"/>
              </w:rPr>
              <w:t>10</w:t>
            </w:r>
            <w:r>
              <w:rPr>
                <w:rFonts w:ascii="Arial" w:hAnsi="Arial" w:cs="Arial" w:eastAsia="Arial"/>
                <w:sz w:val="16"/>
                <w:vertAlign w:val="superscript"/>
              </w:rPr>
              <w:t>9</w:t>
            </w:r>
            <w:r>
              <w:rPr>
                <w:rFonts w:ascii="Arial" w:hAnsi="Arial" w:cs="Arial" w:eastAsia="Arial"/>
                <w:sz w:val="16"/>
                <w:vertAlign w:val="baseline"/>
              </w:rPr>
              <w:t>/L</w:t>
            </w:r>
          </w:p>
          <w:p>
            <w:pPr>
              <w:pStyle w:val="TableParagraph"/>
              <w:spacing w:before="58"/>
              <w:ind w:left="72"/>
              <w:rPr>
                <w:sz w:val="16"/>
              </w:rPr>
            </w:pPr>
            <w:r>
              <w:rPr>
                <w:rFonts w:ascii="Arial" w:hAnsi="Arial" w:cs="Arial" w:eastAsia="Arial"/>
                <w:sz w:val="16"/>
              </w:rPr>
              <w:t>&lt;LLN –</w:t>
            </w:r>
            <w:r>
              <w:rPr>
                <w:rFonts w:ascii="Arial" w:hAnsi="Arial" w:cs="Arial" w:eastAsia="Arial"/>
                <w:spacing w:val="-1"/>
                <w:sz w:val="16"/>
              </w:rPr>
              <w:t> </w:t>
            </w:r>
            <w:r>
              <w:rPr>
                <w:rFonts w:ascii="Arial" w:hAnsi="Arial" w:cs="Arial" w:eastAsia="Arial"/>
                <w:sz w:val="16"/>
              </w:rPr>
              <w:t>3000/mm</w:t>
            </w:r>
            <w:r>
              <w:rPr>
                <w:rFonts w:ascii="Arial" w:hAnsi="Arial" w:cs="Arial" w:eastAsia="Arial"/>
                <w:sz w:val="16"/>
                <w:vertAlign w:val="superscript"/>
              </w:rPr>
              <w:t>3</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1"/>
              <w:ind w:left="72"/>
              <w:rPr>
                <w:sz w:val="16"/>
              </w:rPr>
            </w:pPr>
            <w:r>
              <w:rPr>
                <w:rFonts w:ascii="Arial" w:hAnsi="Arial" w:cs="Arial" w:eastAsia="Arial"/>
                <w:sz w:val="16"/>
              </w:rPr>
              <w:t>&lt;3.0 – 2.0</w:t>
            </w:r>
            <w:r>
              <w:rPr>
                <w:rFonts w:ascii="Arial" w:hAnsi="Arial" w:cs="Arial" w:eastAsia="Arial"/>
                <w:sz w:val="16"/>
              </w:rPr>
              <w:t></w:t>
            </w:r>
            <w:r>
              <w:rPr>
                <w:rFonts w:ascii="Arial" w:hAnsi="Arial" w:cs="Arial" w:eastAsia="Arial"/>
                <w:sz w:val="16"/>
              </w:rPr>
              <w:t>10</w:t>
            </w:r>
            <w:r>
              <w:rPr>
                <w:rFonts w:ascii="Arial" w:hAnsi="Arial" w:cs="Arial" w:eastAsia="Arial"/>
                <w:sz w:val="16"/>
                <w:vertAlign w:val="superscript"/>
              </w:rPr>
              <w:t>9</w:t>
            </w:r>
            <w:r>
              <w:rPr>
                <w:rFonts w:ascii="Arial" w:hAnsi="Arial" w:cs="Arial" w:eastAsia="Arial"/>
                <w:sz w:val="16"/>
                <w:vertAlign w:val="baseline"/>
              </w:rPr>
              <w:t>/L</w:t>
            </w:r>
          </w:p>
          <w:p>
            <w:pPr>
              <w:pStyle w:val="TableParagraph"/>
              <w:spacing w:before="58"/>
              <w:ind w:left="72"/>
              <w:rPr>
                <w:sz w:val="16"/>
              </w:rPr>
            </w:pPr>
            <w:r>
              <w:rPr>
                <w:rFonts w:ascii="Arial" w:hAnsi="Arial" w:cs="Arial" w:eastAsia="Arial"/>
                <w:sz w:val="16"/>
              </w:rPr>
              <w:t>&lt;3000 – 2000/mm</w:t>
            </w:r>
            <w:r>
              <w:rPr>
                <w:rFonts w:ascii="Arial" w:hAnsi="Arial" w:cs="Arial" w:eastAsia="Arial"/>
                <w:sz w:val="16"/>
                <w:vertAlign w:val="superscript"/>
              </w:rPr>
              <w:t>3</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71"/>
              <w:ind w:left="73"/>
              <w:rPr>
                <w:sz w:val="16"/>
              </w:rPr>
            </w:pPr>
            <w:r>
              <w:rPr>
                <w:rFonts w:ascii="Arial" w:hAnsi="Arial" w:cs="Arial" w:eastAsia="Arial"/>
                <w:sz w:val="16"/>
              </w:rPr>
              <w:t>&lt;2.0 – 1.0</w:t>
            </w:r>
            <w:r>
              <w:rPr>
                <w:rFonts w:ascii="Arial" w:hAnsi="Arial" w:cs="Arial" w:eastAsia="Arial"/>
                <w:sz w:val="16"/>
              </w:rPr>
              <w:t></w:t>
            </w:r>
            <w:r>
              <w:rPr>
                <w:rFonts w:ascii="Arial" w:hAnsi="Arial" w:cs="Arial" w:eastAsia="Arial"/>
                <w:sz w:val="16"/>
              </w:rPr>
              <w:t>10</w:t>
            </w:r>
            <w:r>
              <w:rPr>
                <w:rFonts w:ascii="Arial" w:hAnsi="Arial" w:cs="Arial" w:eastAsia="Arial"/>
                <w:sz w:val="16"/>
                <w:vertAlign w:val="superscript"/>
              </w:rPr>
              <w:t>9</w:t>
            </w:r>
            <w:r>
              <w:rPr>
                <w:rFonts w:ascii="Arial" w:hAnsi="Arial" w:cs="Arial" w:eastAsia="Arial"/>
                <w:sz w:val="16"/>
                <w:vertAlign w:val="baseline"/>
              </w:rPr>
              <w:t>/L</w:t>
            </w:r>
          </w:p>
          <w:p>
            <w:pPr>
              <w:pStyle w:val="TableParagraph"/>
              <w:spacing w:before="58"/>
              <w:ind w:left="73"/>
              <w:rPr>
                <w:sz w:val="16"/>
              </w:rPr>
            </w:pPr>
            <w:r>
              <w:rPr>
                <w:rFonts w:ascii="Arial" w:hAnsi="Arial" w:cs="Arial" w:eastAsia="Arial"/>
                <w:sz w:val="16"/>
              </w:rPr>
              <w:t>&lt;2000 – 1000/mm</w:t>
            </w:r>
            <w:r>
              <w:rPr>
                <w:rFonts w:ascii="Arial" w:hAnsi="Arial" w:cs="Arial" w:eastAsia="Arial"/>
                <w:sz w:val="16"/>
                <w:vertAlign w:val="superscript"/>
              </w:rPr>
              <w:t>3</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71"/>
              <w:ind w:left="74"/>
              <w:rPr>
                <w:sz w:val="16"/>
              </w:rPr>
            </w:pPr>
            <w:r>
              <w:rPr>
                <w:rFonts w:ascii="Arial" w:hAnsi="Arial" w:cs="Arial" w:eastAsia="Arial"/>
                <w:sz w:val="16"/>
              </w:rPr>
              <w:t>&lt;1.0</w:t>
            </w:r>
            <w:r>
              <w:rPr>
                <w:rFonts w:ascii="Arial" w:hAnsi="Arial" w:cs="Arial" w:eastAsia="Arial"/>
                <w:sz w:val="16"/>
              </w:rPr>
              <w:t></w:t>
            </w:r>
            <w:r>
              <w:rPr>
                <w:rFonts w:ascii="Arial" w:hAnsi="Arial" w:cs="Arial" w:eastAsia="Arial"/>
                <w:sz w:val="16"/>
              </w:rPr>
              <w:t>10</w:t>
            </w:r>
            <w:r>
              <w:rPr>
                <w:rFonts w:ascii="Arial" w:hAnsi="Arial" w:cs="Arial" w:eastAsia="Arial"/>
                <w:sz w:val="16"/>
                <w:vertAlign w:val="superscript"/>
              </w:rPr>
              <w:t>9</w:t>
            </w:r>
            <w:r>
              <w:rPr>
                <w:rFonts w:ascii="Arial" w:hAnsi="Arial" w:cs="Arial" w:eastAsia="Arial"/>
                <w:sz w:val="16"/>
                <w:vertAlign w:val="baseline"/>
              </w:rPr>
              <w:t>/L</w:t>
            </w:r>
          </w:p>
          <w:p>
            <w:pPr>
              <w:pStyle w:val="TableParagraph"/>
              <w:spacing w:before="58"/>
              <w:ind w:left="74"/>
              <w:rPr>
                <w:sz w:val="16"/>
              </w:rPr>
            </w:pPr>
            <w:r>
              <w:rPr>
                <w:rFonts w:ascii="Arial" w:hAnsi="Arial" w:cs="Arial" w:eastAsia="Arial"/>
                <w:sz w:val="16"/>
              </w:rPr>
              <w:t>&lt;1000/mm</w:t>
            </w:r>
            <w:r>
              <w:rPr>
                <w:rFonts w:ascii="Arial" w:hAnsi="Arial" w:cs="Arial" w:eastAsia="Arial"/>
                <w:sz w:val="16"/>
                <w:vertAlign w:val="superscript"/>
              </w:rPr>
              <w:t>3</w:t>
            </w:r>
          </w:p>
        </w:tc>
      </w:tr>
      <w:tr>
        <w:trPr>
          <w:trHeight w:val="589"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2"/>
              <w:rPr>
                <w:b/>
                <w:sz w:val="17"/>
              </w:rPr>
            </w:pPr>
          </w:p>
          <w:p>
            <w:pPr>
              <w:pStyle w:val="TableParagraph"/>
              <w:spacing w:before="1"/>
              <w:ind w:left="74"/>
              <w:rPr>
                <w:sz w:val="16"/>
              </w:rPr>
            </w:pPr>
            <w:r>
              <w:rPr>
                <w:rFonts w:ascii="Arial" w:hAnsi="Arial" w:cs="Arial" w:eastAsia="Arial"/>
                <w:sz w:val="16"/>
              </w:rPr>
              <w:t>Lymphocytes</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1"/>
              <w:ind w:left="72"/>
              <w:rPr>
                <w:sz w:val="16"/>
              </w:rPr>
            </w:pPr>
            <w:r>
              <w:rPr>
                <w:rFonts w:ascii="Arial" w:hAnsi="Arial" w:cs="Arial" w:eastAsia="Arial"/>
                <w:sz w:val="16"/>
              </w:rPr>
              <w:t>&lt;LLN – 800/mm</w:t>
            </w:r>
            <w:r>
              <w:rPr>
                <w:rFonts w:ascii="Arial" w:hAnsi="Arial" w:cs="Arial" w:eastAsia="Arial"/>
                <w:sz w:val="16"/>
                <w:vertAlign w:val="superscript"/>
              </w:rPr>
              <w:t>3</w:t>
            </w:r>
          </w:p>
          <w:p>
            <w:pPr>
              <w:pStyle w:val="TableParagraph"/>
              <w:spacing w:before="59"/>
              <w:ind w:left="72"/>
              <w:rPr>
                <w:sz w:val="16"/>
              </w:rPr>
            </w:pPr>
            <w:r>
              <w:rPr>
                <w:rFonts w:ascii="Arial" w:hAnsi="Arial" w:cs="Arial" w:eastAsia="Arial"/>
                <w:sz w:val="16"/>
              </w:rPr>
              <w:t>&lt;LLN – 0.8</w:t>
            </w:r>
            <w:r>
              <w:rPr>
                <w:rFonts w:ascii="Arial" w:hAnsi="Arial" w:cs="Arial" w:eastAsia="Arial"/>
                <w:sz w:val="16"/>
              </w:rPr>
              <w:t></w:t>
            </w:r>
            <w:r>
              <w:rPr>
                <w:rFonts w:ascii="Arial" w:hAnsi="Arial" w:cs="Arial" w:eastAsia="Arial"/>
                <w:sz w:val="16"/>
              </w:rPr>
              <w:t>10</w:t>
            </w:r>
            <w:r>
              <w:rPr>
                <w:rFonts w:ascii="Arial" w:hAnsi="Arial" w:cs="Arial" w:eastAsia="Arial"/>
                <w:sz w:val="16"/>
                <w:vertAlign w:val="superscript"/>
              </w:rPr>
              <w:t>9</w:t>
            </w:r>
            <w:r>
              <w:rPr>
                <w:rFonts w:ascii="Arial" w:hAnsi="Arial" w:cs="Arial" w:eastAsia="Arial"/>
                <w:sz w:val="16"/>
                <w:vertAlign w:val="baseline"/>
              </w:rPr>
              <w:t>/L</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1"/>
              <w:ind w:left="72"/>
              <w:rPr>
                <w:sz w:val="16"/>
              </w:rPr>
            </w:pPr>
            <w:r>
              <w:rPr>
                <w:rFonts w:ascii="Arial" w:hAnsi="Arial" w:cs="Arial" w:eastAsia="Arial"/>
                <w:sz w:val="16"/>
              </w:rPr>
              <w:t>&lt;800 –</w:t>
            </w:r>
            <w:r>
              <w:rPr>
                <w:rFonts w:ascii="Arial" w:hAnsi="Arial" w:cs="Arial" w:eastAsia="Arial"/>
                <w:spacing w:val="-4"/>
                <w:sz w:val="16"/>
              </w:rPr>
              <w:t> </w:t>
            </w:r>
            <w:r>
              <w:rPr>
                <w:rFonts w:ascii="Arial" w:hAnsi="Arial" w:cs="Arial" w:eastAsia="Arial"/>
                <w:sz w:val="16"/>
              </w:rPr>
              <w:t>500/mm</w:t>
            </w:r>
            <w:r>
              <w:rPr>
                <w:rFonts w:ascii="Arial" w:hAnsi="Arial" w:cs="Arial" w:eastAsia="Arial"/>
                <w:sz w:val="16"/>
                <w:vertAlign w:val="superscript"/>
              </w:rPr>
              <w:t>3</w:t>
            </w:r>
          </w:p>
          <w:p>
            <w:pPr>
              <w:pStyle w:val="TableParagraph"/>
              <w:spacing w:before="59"/>
              <w:ind w:left="72"/>
              <w:rPr>
                <w:sz w:val="16"/>
              </w:rPr>
            </w:pPr>
            <w:r>
              <w:rPr>
                <w:rFonts w:ascii="Arial" w:hAnsi="Arial" w:cs="Arial" w:eastAsia="Arial"/>
                <w:sz w:val="16"/>
              </w:rPr>
              <w:t>&lt;0.8 –</w:t>
            </w:r>
            <w:r>
              <w:rPr>
                <w:rFonts w:ascii="Arial" w:hAnsi="Arial" w:cs="Arial" w:eastAsia="Arial"/>
                <w:spacing w:val="-1"/>
                <w:sz w:val="16"/>
              </w:rPr>
              <w:t> </w:t>
            </w:r>
            <w:r>
              <w:rPr>
                <w:rFonts w:ascii="Arial" w:hAnsi="Arial" w:cs="Arial" w:eastAsia="Arial"/>
                <w:sz w:val="16"/>
              </w:rPr>
              <w:t>0.5</w:t>
            </w:r>
            <w:r>
              <w:rPr>
                <w:rFonts w:ascii="Arial" w:hAnsi="Arial" w:cs="Arial" w:eastAsia="Arial"/>
                <w:sz w:val="16"/>
              </w:rPr>
              <w:t></w:t>
            </w:r>
            <w:r>
              <w:rPr>
                <w:rFonts w:ascii="Arial" w:hAnsi="Arial" w:cs="Arial" w:eastAsia="Arial"/>
                <w:sz w:val="16"/>
              </w:rPr>
              <w:t>10</w:t>
            </w:r>
            <w:r>
              <w:rPr>
                <w:rFonts w:ascii="Arial" w:hAnsi="Arial" w:cs="Arial" w:eastAsia="Arial"/>
                <w:sz w:val="16"/>
                <w:vertAlign w:val="superscript"/>
              </w:rPr>
              <w:t>9</w:t>
            </w:r>
            <w:r>
              <w:rPr>
                <w:rFonts w:ascii="Arial" w:hAnsi="Arial" w:cs="Arial" w:eastAsia="Arial"/>
                <w:sz w:val="16"/>
                <w:vertAlign w:val="baseline"/>
              </w:rPr>
              <w:t>/L</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71"/>
              <w:ind w:left="73"/>
              <w:rPr>
                <w:sz w:val="16"/>
              </w:rPr>
            </w:pPr>
            <w:r>
              <w:rPr>
                <w:rFonts w:ascii="Arial" w:hAnsi="Arial" w:cs="Arial" w:eastAsia="Arial"/>
                <w:sz w:val="16"/>
              </w:rPr>
              <w:t>&lt;500 –</w:t>
            </w:r>
            <w:r>
              <w:rPr>
                <w:rFonts w:ascii="Arial" w:hAnsi="Arial" w:cs="Arial" w:eastAsia="Arial"/>
                <w:spacing w:val="-3"/>
                <w:sz w:val="16"/>
              </w:rPr>
              <w:t> </w:t>
            </w:r>
            <w:r>
              <w:rPr>
                <w:rFonts w:ascii="Arial" w:hAnsi="Arial" w:cs="Arial" w:eastAsia="Arial"/>
                <w:sz w:val="16"/>
              </w:rPr>
              <w:t>200/mm</w:t>
            </w:r>
            <w:r>
              <w:rPr>
                <w:rFonts w:ascii="Arial" w:hAnsi="Arial" w:cs="Arial" w:eastAsia="Arial"/>
                <w:sz w:val="16"/>
                <w:vertAlign w:val="superscript"/>
              </w:rPr>
              <w:t>3</w:t>
            </w:r>
          </w:p>
          <w:p>
            <w:pPr>
              <w:pStyle w:val="TableParagraph"/>
              <w:spacing w:before="59"/>
              <w:ind w:left="73"/>
              <w:rPr>
                <w:sz w:val="16"/>
              </w:rPr>
            </w:pPr>
            <w:r>
              <w:rPr>
                <w:rFonts w:ascii="Arial" w:hAnsi="Arial" w:cs="Arial" w:eastAsia="Arial"/>
                <w:sz w:val="16"/>
              </w:rPr>
              <w:t>&lt;0.5 –</w:t>
            </w:r>
            <w:r>
              <w:rPr>
                <w:rFonts w:ascii="Arial" w:hAnsi="Arial" w:cs="Arial" w:eastAsia="Arial"/>
                <w:spacing w:val="-1"/>
                <w:sz w:val="16"/>
              </w:rPr>
              <w:t> </w:t>
            </w:r>
            <w:r>
              <w:rPr>
                <w:rFonts w:ascii="Arial" w:hAnsi="Arial" w:cs="Arial" w:eastAsia="Arial"/>
                <w:sz w:val="16"/>
              </w:rPr>
              <w:t>0.2</w:t>
            </w:r>
            <w:r>
              <w:rPr>
                <w:rFonts w:ascii="Arial" w:hAnsi="Arial" w:cs="Arial" w:eastAsia="Arial"/>
                <w:sz w:val="16"/>
              </w:rPr>
              <w:t></w:t>
            </w:r>
            <w:r>
              <w:rPr>
                <w:rFonts w:ascii="Arial" w:hAnsi="Arial" w:cs="Arial" w:eastAsia="Arial"/>
                <w:sz w:val="16"/>
              </w:rPr>
              <w:t>10</w:t>
            </w:r>
            <w:r>
              <w:rPr>
                <w:rFonts w:ascii="Arial" w:hAnsi="Arial" w:cs="Arial" w:eastAsia="Arial"/>
                <w:sz w:val="16"/>
                <w:vertAlign w:val="superscript"/>
              </w:rPr>
              <w:t>9</w:t>
            </w:r>
            <w:r>
              <w:rPr>
                <w:rFonts w:ascii="Arial" w:hAnsi="Arial" w:cs="Arial" w:eastAsia="Arial"/>
                <w:sz w:val="16"/>
                <w:vertAlign w:val="baseline"/>
              </w:rPr>
              <w:t>/L</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71"/>
              <w:ind w:left="74"/>
              <w:rPr>
                <w:sz w:val="16"/>
              </w:rPr>
            </w:pPr>
            <w:r>
              <w:rPr>
                <w:rFonts w:ascii="Arial" w:hAnsi="Arial" w:cs="Arial" w:eastAsia="Arial"/>
                <w:sz w:val="16"/>
              </w:rPr>
              <w:t>&lt;200/mm</w:t>
            </w:r>
            <w:r>
              <w:rPr>
                <w:rFonts w:ascii="Arial" w:hAnsi="Arial" w:cs="Arial" w:eastAsia="Arial"/>
                <w:sz w:val="16"/>
                <w:vertAlign w:val="superscript"/>
              </w:rPr>
              <w:t>3</w:t>
            </w:r>
          </w:p>
          <w:p>
            <w:pPr>
              <w:pStyle w:val="TableParagraph"/>
              <w:spacing w:before="59"/>
              <w:ind w:left="74"/>
              <w:rPr>
                <w:sz w:val="16"/>
              </w:rPr>
            </w:pPr>
            <w:r>
              <w:rPr>
                <w:rFonts w:ascii="Arial" w:hAnsi="Arial" w:cs="Arial" w:eastAsia="Arial"/>
                <w:sz w:val="16"/>
              </w:rPr>
              <w:t>&lt;0.2</w:t>
            </w:r>
            <w:r>
              <w:rPr>
                <w:rFonts w:ascii="Arial" w:hAnsi="Arial" w:cs="Arial" w:eastAsia="Arial"/>
                <w:sz w:val="16"/>
              </w:rPr>
              <w:t></w:t>
            </w:r>
            <w:r>
              <w:rPr>
                <w:rFonts w:ascii="Arial" w:hAnsi="Arial" w:cs="Arial" w:eastAsia="Arial"/>
                <w:sz w:val="16"/>
              </w:rPr>
              <w:t>10</w:t>
            </w:r>
            <w:r>
              <w:rPr>
                <w:rFonts w:ascii="Arial" w:hAnsi="Arial" w:cs="Arial" w:eastAsia="Arial"/>
                <w:sz w:val="16"/>
                <w:vertAlign w:val="superscript"/>
              </w:rPr>
              <w:t>9</w:t>
            </w:r>
            <w:r>
              <w:rPr>
                <w:rFonts w:ascii="Arial" w:hAnsi="Arial" w:cs="Arial" w:eastAsia="Arial"/>
                <w:sz w:val="16"/>
                <w:vertAlign w:val="baseline"/>
              </w:rPr>
              <w:t>/L</w:t>
            </w:r>
          </w:p>
        </w:tc>
      </w:tr>
      <w:tr>
        <w:trPr>
          <w:trHeight w:val="589"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2"/>
              <w:rPr>
                <w:b/>
                <w:sz w:val="17"/>
              </w:rPr>
            </w:pPr>
          </w:p>
          <w:p>
            <w:pPr>
              <w:pStyle w:val="TableParagraph"/>
              <w:spacing w:before="1"/>
              <w:ind w:left="74"/>
              <w:rPr>
                <w:sz w:val="16"/>
              </w:rPr>
            </w:pPr>
            <w:r>
              <w:rPr>
                <w:rFonts w:ascii="Arial" w:hAnsi="Arial" w:cs="Arial" w:eastAsia="Arial"/>
                <w:sz w:val="16"/>
              </w:rPr>
              <w:t>Neutrophils</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1"/>
              <w:ind w:left="72"/>
              <w:rPr>
                <w:sz w:val="16"/>
              </w:rPr>
            </w:pPr>
            <w:r>
              <w:rPr>
                <w:rFonts w:ascii="Arial" w:hAnsi="Arial" w:cs="Arial" w:eastAsia="Arial"/>
                <w:sz w:val="16"/>
              </w:rPr>
              <w:t>&lt;LLN –</w:t>
            </w:r>
            <w:r>
              <w:rPr>
                <w:rFonts w:ascii="Arial" w:hAnsi="Arial" w:cs="Arial" w:eastAsia="Arial"/>
                <w:spacing w:val="-1"/>
                <w:sz w:val="16"/>
              </w:rPr>
              <w:t> </w:t>
            </w:r>
            <w:r>
              <w:rPr>
                <w:rFonts w:ascii="Arial" w:hAnsi="Arial" w:cs="Arial" w:eastAsia="Arial"/>
                <w:sz w:val="16"/>
              </w:rPr>
              <w:t>1.5</w:t>
            </w:r>
            <w:r>
              <w:rPr>
                <w:rFonts w:ascii="Arial" w:hAnsi="Arial" w:cs="Arial" w:eastAsia="Arial"/>
                <w:sz w:val="16"/>
              </w:rPr>
              <w:t></w:t>
            </w:r>
            <w:r>
              <w:rPr>
                <w:rFonts w:ascii="Arial" w:hAnsi="Arial" w:cs="Arial" w:eastAsia="Arial"/>
                <w:sz w:val="16"/>
              </w:rPr>
              <w:t>10</w:t>
            </w:r>
            <w:r>
              <w:rPr>
                <w:rFonts w:ascii="Arial" w:hAnsi="Arial" w:cs="Arial" w:eastAsia="Arial"/>
                <w:sz w:val="16"/>
                <w:vertAlign w:val="superscript"/>
              </w:rPr>
              <w:t>9</w:t>
            </w:r>
            <w:r>
              <w:rPr>
                <w:rFonts w:ascii="Arial" w:hAnsi="Arial" w:cs="Arial" w:eastAsia="Arial"/>
                <w:sz w:val="16"/>
                <w:vertAlign w:val="baseline"/>
              </w:rPr>
              <w:t>/L</w:t>
            </w:r>
          </w:p>
          <w:p>
            <w:pPr>
              <w:pStyle w:val="TableParagraph"/>
              <w:spacing w:before="61"/>
              <w:ind w:left="72"/>
              <w:rPr>
                <w:sz w:val="16"/>
              </w:rPr>
            </w:pPr>
            <w:r>
              <w:rPr>
                <w:rFonts w:ascii="Arial" w:hAnsi="Arial" w:cs="Arial" w:eastAsia="Arial"/>
                <w:sz w:val="16"/>
              </w:rPr>
              <w:t>&lt;LLN –</w:t>
            </w:r>
            <w:r>
              <w:rPr>
                <w:rFonts w:ascii="Arial" w:hAnsi="Arial" w:cs="Arial" w:eastAsia="Arial"/>
                <w:spacing w:val="-4"/>
                <w:sz w:val="16"/>
              </w:rPr>
              <w:t> </w:t>
            </w:r>
            <w:r>
              <w:rPr>
                <w:rFonts w:ascii="Arial" w:hAnsi="Arial" w:cs="Arial" w:eastAsia="Arial"/>
                <w:sz w:val="16"/>
              </w:rPr>
              <w:t>1500/mm</w:t>
            </w:r>
            <w:r>
              <w:rPr>
                <w:rFonts w:ascii="Arial" w:hAnsi="Arial" w:cs="Arial" w:eastAsia="Arial"/>
                <w:sz w:val="16"/>
                <w:vertAlign w:val="superscript"/>
              </w:rPr>
              <w:t>3</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1"/>
              <w:ind w:left="72"/>
              <w:rPr>
                <w:sz w:val="16"/>
              </w:rPr>
            </w:pPr>
            <w:r>
              <w:rPr>
                <w:rFonts w:ascii="Arial" w:hAnsi="Arial" w:cs="Arial" w:eastAsia="Arial"/>
                <w:sz w:val="16"/>
              </w:rPr>
              <w:t>&lt;1.5 – 1.0</w:t>
            </w:r>
            <w:r>
              <w:rPr>
                <w:rFonts w:ascii="Arial" w:hAnsi="Arial" w:cs="Arial" w:eastAsia="Arial"/>
                <w:sz w:val="16"/>
              </w:rPr>
              <w:t></w:t>
            </w:r>
            <w:r>
              <w:rPr>
                <w:rFonts w:ascii="Arial" w:hAnsi="Arial" w:cs="Arial" w:eastAsia="Arial"/>
                <w:sz w:val="16"/>
              </w:rPr>
              <w:t>10</w:t>
            </w:r>
            <w:r>
              <w:rPr>
                <w:rFonts w:ascii="Arial" w:hAnsi="Arial" w:cs="Arial" w:eastAsia="Arial"/>
                <w:sz w:val="16"/>
                <w:vertAlign w:val="superscript"/>
              </w:rPr>
              <w:t>9</w:t>
            </w:r>
            <w:r>
              <w:rPr>
                <w:rFonts w:ascii="Arial" w:hAnsi="Arial" w:cs="Arial" w:eastAsia="Arial"/>
                <w:sz w:val="16"/>
                <w:vertAlign w:val="baseline"/>
              </w:rPr>
              <w:t>/L</w:t>
            </w:r>
          </w:p>
          <w:p>
            <w:pPr>
              <w:pStyle w:val="TableParagraph"/>
              <w:spacing w:before="61"/>
              <w:ind w:left="72"/>
              <w:rPr>
                <w:sz w:val="16"/>
              </w:rPr>
            </w:pPr>
            <w:r>
              <w:rPr>
                <w:rFonts w:ascii="Arial" w:hAnsi="Arial" w:cs="Arial" w:eastAsia="Arial"/>
                <w:sz w:val="16"/>
              </w:rPr>
              <w:t>&lt;1500 – 1000/mm</w:t>
            </w:r>
            <w:r>
              <w:rPr>
                <w:rFonts w:ascii="Arial" w:hAnsi="Arial" w:cs="Arial" w:eastAsia="Arial"/>
                <w:sz w:val="16"/>
                <w:vertAlign w:val="superscript"/>
              </w:rPr>
              <w:t>3</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71"/>
              <w:ind w:left="73"/>
              <w:rPr>
                <w:sz w:val="16"/>
              </w:rPr>
            </w:pPr>
            <w:r>
              <w:rPr>
                <w:rFonts w:ascii="Arial" w:hAnsi="Arial" w:cs="Arial" w:eastAsia="Arial"/>
                <w:sz w:val="16"/>
              </w:rPr>
              <w:t>&lt;1.0 – 0.5</w:t>
            </w:r>
            <w:r>
              <w:rPr>
                <w:rFonts w:ascii="Arial" w:hAnsi="Arial" w:cs="Arial" w:eastAsia="Arial"/>
                <w:sz w:val="16"/>
              </w:rPr>
              <w:t></w:t>
            </w:r>
            <w:r>
              <w:rPr>
                <w:rFonts w:ascii="Arial" w:hAnsi="Arial" w:cs="Arial" w:eastAsia="Arial"/>
                <w:sz w:val="16"/>
              </w:rPr>
              <w:t>10</w:t>
            </w:r>
            <w:r>
              <w:rPr>
                <w:rFonts w:ascii="Arial" w:hAnsi="Arial" w:cs="Arial" w:eastAsia="Arial"/>
                <w:sz w:val="16"/>
                <w:vertAlign w:val="superscript"/>
              </w:rPr>
              <w:t>9</w:t>
            </w:r>
            <w:r>
              <w:rPr>
                <w:rFonts w:ascii="Arial" w:hAnsi="Arial" w:cs="Arial" w:eastAsia="Arial"/>
                <w:sz w:val="16"/>
                <w:vertAlign w:val="baseline"/>
              </w:rPr>
              <w:t>/L</w:t>
            </w:r>
          </w:p>
          <w:p>
            <w:pPr>
              <w:pStyle w:val="TableParagraph"/>
              <w:spacing w:before="61"/>
              <w:ind w:left="73"/>
              <w:rPr>
                <w:sz w:val="16"/>
              </w:rPr>
            </w:pPr>
            <w:r>
              <w:rPr>
                <w:rFonts w:ascii="Arial" w:hAnsi="Arial" w:cs="Arial" w:eastAsia="Arial"/>
                <w:sz w:val="16"/>
              </w:rPr>
              <w:t>&lt;1000 – 500/mm</w:t>
            </w:r>
            <w:r>
              <w:rPr>
                <w:rFonts w:ascii="Arial" w:hAnsi="Arial" w:cs="Arial" w:eastAsia="Arial"/>
                <w:sz w:val="16"/>
                <w:vertAlign w:val="superscript"/>
              </w:rPr>
              <w:t>3</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71"/>
              <w:ind w:left="74"/>
              <w:rPr>
                <w:sz w:val="16"/>
              </w:rPr>
            </w:pPr>
            <w:r>
              <w:rPr>
                <w:rFonts w:ascii="Arial" w:hAnsi="Arial" w:cs="Arial" w:eastAsia="Arial"/>
                <w:sz w:val="16"/>
              </w:rPr>
              <w:t>&lt;0.5</w:t>
            </w:r>
            <w:r>
              <w:rPr>
                <w:rFonts w:ascii="Arial" w:hAnsi="Arial" w:cs="Arial" w:eastAsia="Arial"/>
                <w:sz w:val="16"/>
              </w:rPr>
              <w:t></w:t>
            </w:r>
            <w:r>
              <w:rPr>
                <w:rFonts w:ascii="Arial" w:hAnsi="Arial" w:cs="Arial" w:eastAsia="Arial"/>
                <w:sz w:val="16"/>
              </w:rPr>
              <w:t>10</w:t>
            </w:r>
            <w:r>
              <w:rPr>
                <w:rFonts w:ascii="Arial" w:hAnsi="Arial" w:cs="Arial" w:eastAsia="Arial"/>
                <w:sz w:val="16"/>
                <w:vertAlign w:val="superscript"/>
              </w:rPr>
              <w:t>9</w:t>
            </w:r>
            <w:r>
              <w:rPr>
                <w:rFonts w:ascii="Arial" w:hAnsi="Arial" w:cs="Arial" w:eastAsia="Arial"/>
                <w:sz w:val="16"/>
                <w:vertAlign w:val="baseline"/>
              </w:rPr>
              <w:t>/L</w:t>
            </w:r>
          </w:p>
          <w:p>
            <w:pPr>
              <w:pStyle w:val="TableParagraph"/>
              <w:spacing w:before="61"/>
              <w:ind w:left="74"/>
              <w:rPr>
                <w:sz w:val="16"/>
              </w:rPr>
            </w:pPr>
            <w:r>
              <w:rPr>
                <w:rFonts w:ascii="Arial" w:hAnsi="Arial" w:cs="Arial" w:eastAsia="Arial"/>
                <w:sz w:val="16"/>
              </w:rPr>
              <w:t>&lt;500/mm</w:t>
            </w:r>
            <w:r>
              <w:rPr>
                <w:rFonts w:ascii="Arial" w:hAnsi="Arial" w:cs="Arial" w:eastAsia="Arial"/>
                <w:sz w:val="16"/>
                <w:vertAlign w:val="superscript"/>
              </w:rPr>
              <w:t>3</w:t>
            </w:r>
          </w:p>
        </w:tc>
      </w:tr>
      <w:tr>
        <w:trPr>
          <w:trHeight w:val="592"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2"/>
              <w:rPr>
                <w:b/>
                <w:sz w:val="17"/>
              </w:rPr>
            </w:pPr>
          </w:p>
          <w:p>
            <w:pPr>
              <w:pStyle w:val="TableParagraph"/>
              <w:spacing w:before="1"/>
              <w:ind w:left="74"/>
              <w:rPr>
                <w:sz w:val="16"/>
              </w:rPr>
            </w:pPr>
            <w:r>
              <w:rPr>
                <w:rFonts w:ascii="Arial" w:hAnsi="Arial" w:cs="Arial" w:eastAsia="Arial"/>
                <w:sz w:val="16"/>
              </w:rPr>
              <w:t>Platelets</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1"/>
              <w:ind w:left="72"/>
              <w:rPr>
                <w:sz w:val="16"/>
              </w:rPr>
            </w:pPr>
            <w:r>
              <w:rPr>
                <w:rFonts w:ascii="Arial" w:hAnsi="Arial" w:cs="Arial" w:eastAsia="Arial"/>
                <w:sz w:val="16"/>
              </w:rPr>
              <w:t>&lt;LLN – 75.0</w:t>
            </w:r>
            <w:r>
              <w:rPr>
                <w:rFonts w:ascii="Arial" w:hAnsi="Arial" w:cs="Arial" w:eastAsia="Arial"/>
                <w:sz w:val="16"/>
              </w:rPr>
              <w:t></w:t>
            </w:r>
            <w:r>
              <w:rPr>
                <w:rFonts w:ascii="Arial" w:hAnsi="Arial" w:cs="Arial" w:eastAsia="Arial"/>
                <w:sz w:val="16"/>
              </w:rPr>
              <w:t>10</w:t>
            </w:r>
            <w:r>
              <w:rPr>
                <w:rFonts w:ascii="Arial" w:hAnsi="Arial" w:cs="Arial" w:eastAsia="Arial"/>
                <w:sz w:val="16"/>
                <w:vertAlign w:val="superscript"/>
              </w:rPr>
              <w:t>9</w:t>
            </w:r>
            <w:r>
              <w:rPr>
                <w:rFonts w:ascii="Arial" w:hAnsi="Arial" w:cs="Arial" w:eastAsia="Arial"/>
                <w:sz w:val="16"/>
                <w:vertAlign w:val="baseline"/>
              </w:rPr>
              <w:t>/L</w:t>
            </w:r>
          </w:p>
          <w:p>
            <w:pPr>
              <w:pStyle w:val="TableParagraph"/>
              <w:spacing w:before="61"/>
              <w:ind w:left="72"/>
              <w:rPr>
                <w:sz w:val="16"/>
              </w:rPr>
            </w:pPr>
            <w:r>
              <w:rPr>
                <w:rFonts w:ascii="Arial" w:hAnsi="Arial" w:cs="Arial" w:eastAsia="Arial"/>
                <w:sz w:val="16"/>
              </w:rPr>
              <w:t>&lt;LLN – 75,000/mm</w:t>
            </w:r>
            <w:r>
              <w:rPr>
                <w:rFonts w:ascii="Arial" w:hAnsi="Arial" w:cs="Arial" w:eastAsia="Arial"/>
                <w:sz w:val="16"/>
                <w:vertAlign w:val="superscript"/>
              </w:rPr>
              <w:t>3</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1"/>
              <w:ind w:left="72"/>
              <w:rPr>
                <w:sz w:val="16"/>
              </w:rPr>
            </w:pPr>
            <w:r>
              <w:rPr>
                <w:rFonts w:ascii="Arial" w:hAnsi="Arial" w:cs="Arial" w:eastAsia="Arial"/>
                <w:sz w:val="16"/>
              </w:rPr>
              <w:t>&lt;75.0 – 50.0</w:t>
            </w:r>
            <w:r>
              <w:rPr>
                <w:rFonts w:ascii="Arial" w:hAnsi="Arial" w:cs="Arial" w:eastAsia="Arial"/>
                <w:sz w:val="16"/>
              </w:rPr>
              <w:t></w:t>
            </w:r>
            <w:r>
              <w:rPr>
                <w:rFonts w:ascii="Arial" w:hAnsi="Arial" w:cs="Arial" w:eastAsia="Arial"/>
                <w:sz w:val="16"/>
              </w:rPr>
              <w:t>10</w:t>
            </w:r>
            <w:r>
              <w:rPr>
                <w:rFonts w:ascii="Arial" w:hAnsi="Arial" w:cs="Arial" w:eastAsia="Arial"/>
                <w:sz w:val="16"/>
                <w:vertAlign w:val="superscript"/>
              </w:rPr>
              <w:t>9</w:t>
            </w:r>
            <w:r>
              <w:rPr>
                <w:rFonts w:ascii="Arial" w:hAnsi="Arial" w:cs="Arial" w:eastAsia="Arial"/>
                <w:sz w:val="16"/>
                <w:vertAlign w:val="baseline"/>
              </w:rPr>
              <w:t>/L</w:t>
            </w:r>
          </w:p>
          <w:p>
            <w:pPr>
              <w:pStyle w:val="TableParagraph"/>
              <w:spacing w:before="61"/>
              <w:ind w:left="72"/>
              <w:rPr>
                <w:sz w:val="16"/>
              </w:rPr>
            </w:pPr>
            <w:r>
              <w:rPr>
                <w:rFonts w:ascii="Arial" w:hAnsi="Arial" w:cs="Arial" w:eastAsia="Arial"/>
                <w:sz w:val="16"/>
              </w:rPr>
              <w:t>&lt;75,000 – 50,000/mm</w:t>
            </w:r>
            <w:r>
              <w:rPr>
                <w:rFonts w:ascii="Arial" w:hAnsi="Arial" w:cs="Arial" w:eastAsia="Arial"/>
                <w:sz w:val="16"/>
                <w:vertAlign w:val="superscript"/>
              </w:rPr>
              <w:t>3</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71"/>
              <w:ind w:left="73"/>
              <w:rPr>
                <w:sz w:val="16"/>
              </w:rPr>
            </w:pPr>
            <w:r>
              <w:rPr>
                <w:rFonts w:ascii="Arial" w:hAnsi="Arial" w:cs="Arial" w:eastAsia="Arial"/>
                <w:sz w:val="16"/>
              </w:rPr>
              <w:t>&lt;50.0 – 25.0</w:t>
            </w:r>
            <w:r>
              <w:rPr>
                <w:rFonts w:ascii="Arial" w:hAnsi="Arial" w:cs="Arial" w:eastAsia="Arial"/>
                <w:sz w:val="16"/>
              </w:rPr>
              <w:t></w:t>
            </w:r>
            <w:r>
              <w:rPr>
                <w:rFonts w:ascii="Arial" w:hAnsi="Arial" w:cs="Arial" w:eastAsia="Arial"/>
                <w:sz w:val="16"/>
              </w:rPr>
              <w:t>10</w:t>
            </w:r>
            <w:r>
              <w:rPr>
                <w:rFonts w:ascii="Arial" w:hAnsi="Arial" w:cs="Arial" w:eastAsia="Arial"/>
                <w:sz w:val="16"/>
                <w:vertAlign w:val="superscript"/>
              </w:rPr>
              <w:t>9</w:t>
            </w:r>
            <w:r>
              <w:rPr>
                <w:rFonts w:ascii="Arial" w:hAnsi="Arial" w:cs="Arial" w:eastAsia="Arial"/>
                <w:sz w:val="16"/>
                <w:vertAlign w:val="baseline"/>
              </w:rPr>
              <w:t>/L</w:t>
            </w:r>
          </w:p>
          <w:p>
            <w:pPr>
              <w:pStyle w:val="TableParagraph"/>
              <w:spacing w:before="61"/>
              <w:ind w:left="73"/>
              <w:rPr>
                <w:sz w:val="16"/>
              </w:rPr>
            </w:pPr>
            <w:r>
              <w:rPr>
                <w:rFonts w:ascii="Arial" w:hAnsi="Arial" w:cs="Arial" w:eastAsia="Arial"/>
                <w:sz w:val="16"/>
              </w:rPr>
              <w:t>&lt;50,000 – 25,000/mm</w:t>
            </w:r>
            <w:r>
              <w:rPr>
                <w:rFonts w:ascii="Arial" w:hAnsi="Arial" w:cs="Arial" w:eastAsia="Arial"/>
                <w:sz w:val="16"/>
                <w:vertAlign w:val="superscript"/>
              </w:rPr>
              <w:t>3</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71"/>
              <w:ind w:left="74"/>
              <w:rPr>
                <w:sz w:val="16"/>
              </w:rPr>
            </w:pPr>
            <w:r>
              <w:rPr>
                <w:rFonts w:ascii="Arial" w:hAnsi="Arial" w:cs="Arial" w:eastAsia="Arial"/>
                <w:sz w:val="16"/>
              </w:rPr>
              <w:t>&lt;25.0</w:t>
            </w:r>
            <w:r>
              <w:rPr>
                <w:rFonts w:ascii="Arial" w:hAnsi="Arial" w:cs="Arial" w:eastAsia="Arial"/>
                <w:sz w:val="16"/>
              </w:rPr>
              <w:t></w:t>
            </w:r>
            <w:r>
              <w:rPr>
                <w:rFonts w:ascii="Arial" w:hAnsi="Arial" w:cs="Arial" w:eastAsia="Arial"/>
                <w:sz w:val="16"/>
              </w:rPr>
              <w:t>10</w:t>
            </w:r>
            <w:r>
              <w:rPr>
                <w:rFonts w:ascii="Arial" w:hAnsi="Arial" w:cs="Arial" w:eastAsia="Arial"/>
                <w:sz w:val="16"/>
                <w:vertAlign w:val="superscript"/>
              </w:rPr>
              <w:t>9</w:t>
            </w:r>
            <w:r>
              <w:rPr>
                <w:rFonts w:ascii="Arial" w:hAnsi="Arial" w:cs="Arial" w:eastAsia="Arial"/>
                <w:sz w:val="16"/>
                <w:vertAlign w:val="baseline"/>
              </w:rPr>
              <w:t>/L</w:t>
            </w:r>
          </w:p>
          <w:p>
            <w:pPr>
              <w:pStyle w:val="TableParagraph"/>
              <w:spacing w:before="61"/>
              <w:ind w:left="74"/>
              <w:rPr>
                <w:sz w:val="16"/>
              </w:rPr>
            </w:pPr>
            <w:r>
              <w:rPr>
                <w:rFonts w:ascii="Arial" w:hAnsi="Arial" w:cs="Arial" w:eastAsia="Arial"/>
                <w:sz w:val="16"/>
              </w:rPr>
              <w:t>&lt;25,000/mm</w:t>
            </w:r>
            <w:r>
              <w:rPr>
                <w:rFonts w:ascii="Arial" w:hAnsi="Arial" w:cs="Arial" w:eastAsia="Arial"/>
                <w:sz w:val="16"/>
                <w:vertAlign w:val="superscript"/>
              </w:rPr>
              <w:t>3</w:t>
            </w:r>
          </w:p>
        </w:tc>
      </w:tr>
      <w:tr>
        <w:trPr>
          <w:trHeight w:val="332"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71"/>
              <w:ind w:left="74"/>
              <w:rPr>
                <w:b/>
                <w:sz w:val="16"/>
              </w:rPr>
            </w:pPr>
            <w:r>
              <w:rPr>
                <w:rFonts w:ascii="Arial" w:hAnsi="Arial" w:cs="Arial" w:eastAsia="Arial"/>
                <w:b/>
                <w:sz w:val="16"/>
              </w:rPr>
              <w:t>METABOLIC/LABORATORY</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rPr>
                <w:sz w:val="16"/>
              </w:rPr>
            </w:pPr>
          </w:p>
        </w:tc>
        <w:tc>
          <w:tcPr>
            <w:tcW w:w="1648" w:type="dxa"/>
            <w:tcBorders>
              <w:top w:val="single" w:sz="6" w:space="0" w:color="000000"/>
              <w:left w:val="single" w:sz="6" w:space="0" w:color="000000"/>
              <w:bottom w:val="single" w:sz="6" w:space="0" w:color="000000"/>
              <w:right w:val="single" w:sz="6" w:space="0" w:color="000000"/>
            </w:tcBorders>
          </w:tcPr>
          <w:p>
            <w:pPr>
              <w:pStyle w:val="TableParagraph"/>
              <w:rPr>
                <w:sz w:val="16"/>
              </w:rPr>
            </w:pPr>
          </w:p>
        </w:tc>
        <w:tc>
          <w:tcPr>
            <w:tcW w:w="1698" w:type="dxa"/>
            <w:tcBorders>
              <w:top w:val="single" w:sz="6" w:space="0" w:color="000000"/>
              <w:left w:val="single" w:sz="6" w:space="0" w:color="000000"/>
              <w:bottom w:val="single" w:sz="6" w:space="0" w:color="000000"/>
              <w:right w:val="single" w:sz="6" w:space="0" w:color="000000"/>
            </w:tcBorders>
          </w:tcPr>
          <w:p>
            <w:pPr>
              <w:pStyle w:val="TableParagraph"/>
              <w:rPr>
                <w:sz w:val="16"/>
              </w:rPr>
            </w:pPr>
          </w:p>
        </w:tc>
        <w:tc>
          <w:tcPr>
            <w:tcW w:w="1547" w:type="dxa"/>
            <w:tcBorders>
              <w:top w:val="single" w:sz="6" w:space="0" w:color="000000"/>
              <w:left w:val="single" w:sz="6" w:space="0" w:color="000000"/>
              <w:bottom w:val="single" w:sz="6" w:space="0" w:color="000000"/>
              <w:right w:val="single" w:sz="6" w:space="0" w:color="000000"/>
            </w:tcBorders>
          </w:tcPr>
          <w:p>
            <w:pPr>
              <w:pStyle w:val="TableParagraph"/>
              <w:rPr>
                <w:sz w:val="16"/>
              </w:rPr>
            </w:pPr>
          </w:p>
        </w:tc>
      </w:tr>
      <w:tr>
        <w:trPr>
          <w:trHeight w:val="702"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1"/>
              <w:rPr>
                <w:b/>
                <w:sz w:val="14"/>
              </w:rPr>
            </w:pPr>
          </w:p>
          <w:p>
            <w:pPr>
              <w:pStyle w:val="TableParagraph"/>
              <w:ind w:left="74"/>
              <w:rPr>
                <w:sz w:val="16"/>
              </w:rPr>
            </w:pPr>
            <w:r>
              <w:rPr>
                <w:rFonts w:ascii="Arial" w:hAnsi="Arial" w:cs="Arial" w:eastAsia="Arial"/>
                <w:sz w:val="16"/>
              </w:rPr>
              <w:t>Albumin, serum- low (hypoalbuminemia)</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131"/>
              <w:ind w:left="72"/>
              <w:rPr>
                <w:sz w:val="16"/>
              </w:rPr>
            </w:pPr>
            <w:r>
              <w:rPr>
                <w:rFonts w:ascii="Arial" w:hAnsi="Arial" w:cs="Arial" w:eastAsia="Arial"/>
                <w:sz w:val="16"/>
              </w:rPr>
              <w:t>&lt;LLN – 3 g/dL</w:t>
            </w:r>
          </w:p>
          <w:p>
            <w:pPr>
              <w:pStyle w:val="TableParagraph"/>
              <w:spacing w:before="61"/>
              <w:ind w:left="72"/>
              <w:rPr>
                <w:sz w:val="16"/>
              </w:rPr>
            </w:pPr>
            <w:r>
              <w:rPr>
                <w:rFonts w:ascii="Arial" w:hAnsi="Arial" w:cs="Arial" w:eastAsia="Arial"/>
                <w:sz w:val="16"/>
              </w:rPr>
              <w:t>&lt;LLN – 30 g/L</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131"/>
              <w:ind w:left="72"/>
              <w:rPr>
                <w:sz w:val="16"/>
              </w:rPr>
            </w:pPr>
            <w:r>
              <w:rPr>
                <w:rFonts w:ascii="Arial" w:hAnsi="Arial" w:cs="Arial" w:eastAsia="Arial"/>
                <w:sz w:val="16"/>
              </w:rPr>
              <w:t>&lt;3 – 2 g/dL</w:t>
            </w:r>
          </w:p>
          <w:p>
            <w:pPr>
              <w:pStyle w:val="TableParagraph"/>
              <w:spacing w:before="61"/>
              <w:ind w:left="72"/>
              <w:rPr>
                <w:sz w:val="16"/>
              </w:rPr>
            </w:pPr>
            <w:r>
              <w:rPr>
                <w:rFonts w:ascii="Arial" w:hAnsi="Arial" w:cs="Arial" w:eastAsia="Arial"/>
                <w:sz w:val="16"/>
              </w:rPr>
              <w:t>&lt;30 – 20 g/L</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131"/>
              <w:ind w:left="73"/>
              <w:rPr>
                <w:sz w:val="16"/>
              </w:rPr>
            </w:pPr>
            <w:r>
              <w:rPr>
                <w:rFonts w:ascii="Arial" w:hAnsi="Arial" w:cs="Arial" w:eastAsia="Arial"/>
                <w:sz w:val="16"/>
              </w:rPr>
              <w:t>&lt;2</w:t>
            </w:r>
            <w:r>
              <w:rPr>
                <w:rFonts w:ascii="Arial" w:hAnsi="Arial" w:cs="Arial" w:eastAsia="Arial"/>
                <w:spacing w:val="2"/>
                <w:sz w:val="16"/>
              </w:rPr>
              <w:t> </w:t>
            </w:r>
            <w:r>
              <w:rPr>
                <w:rFonts w:ascii="Arial" w:hAnsi="Arial" w:cs="Arial" w:eastAsia="Arial"/>
                <w:sz w:val="16"/>
              </w:rPr>
              <w:t>g/dL</w:t>
            </w:r>
          </w:p>
          <w:p>
            <w:pPr>
              <w:pStyle w:val="TableParagraph"/>
              <w:spacing w:before="61"/>
              <w:ind w:left="73"/>
              <w:rPr>
                <w:sz w:val="16"/>
              </w:rPr>
            </w:pPr>
            <w:r>
              <w:rPr>
                <w:rFonts w:ascii="Arial" w:hAnsi="Arial" w:cs="Arial" w:eastAsia="Arial"/>
                <w:sz w:val="16"/>
              </w:rPr>
              <w:t>&lt;20</w:t>
            </w:r>
            <w:r>
              <w:rPr>
                <w:rFonts w:ascii="Arial" w:hAnsi="Arial" w:cs="Arial" w:eastAsia="Arial"/>
                <w:spacing w:val="2"/>
                <w:sz w:val="16"/>
              </w:rPr>
              <w:t> </w:t>
            </w:r>
            <w:r>
              <w:rPr>
                <w:rFonts w:ascii="Arial" w:hAnsi="Arial" w:cs="Arial" w:eastAsia="Arial"/>
                <w:sz w:val="16"/>
              </w:rPr>
              <w:t>g/L</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68"/>
              <w:ind w:left="74" w:right="38"/>
              <w:rPr>
                <w:sz w:val="16"/>
              </w:rPr>
            </w:pPr>
            <w:r>
              <w:rPr>
                <w:rFonts w:ascii="Arial" w:hAnsi="Arial" w:cs="Arial" w:eastAsia="Arial"/>
                <w:sz w:val="16"/>
              </w:rPr>
              <w:t>life-threatening consequences; urgent intervention indicated</w:t>
            </w:r>
          </w:p>
        </w:tc>
      </w:tr>
      <w:tr>
        <w:trPr>
          <w:trHeight w:val="345"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76"/>
              <w:ind w:left="74"/>
              <w:rPr>
                <w:sz w:val="16"/>
              </w:rPr>
            </w:pPr>
            <w:r>
              <w:rPr>
                <w:rFonts w:ascii="Arial" w:hAnsi="Arial" w:cs="Arial" w:eastAsia="Arial"/>
                <w:sz w:val="16"/>
              </w:rPr>
              <w:t>Alkaline phosphatase</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69"/>
              <w:ind w:left="72"/>
              <w:rPr>
                <w:sz w:val="16"/>
              </w:rPr>
            </w:pPr>
            <w:r>
              <w:rPr>
                <w:rFonts w:ascii="Arial" w:hAnsi="Arial" w:cs="Arial" w:eastAsia="Arial"/>
                <w:sz w:val="16"/>
              </w:rPr>
              <w:t>&gt;ULN – 3.0</w:t>
            </w:r>
            <w:r>
              <w:rPr>
                <w:rFonts w:ascii="Arial" w:hAnsi="Arial" w:cs="Arial" w:eastAsia="Arial"/>
                <w:sz w:val="16"/>
              </w:rPr>
              <w:t></w:t>
            </w:r>
            <w:r>
              <w:rPr>
                <w:rFonts w:ascii="Arial" w:hAnsi="Arial" w:cs="Arial" w:eastAsia="Arial"/>
                <w:sz w:val="16"/>
              </w:rPr>
              <w:t>ULN</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69"/>
              <w:ind w:right="494"/>
              <w:jc w:val="right"/>
              <w:rPr>
                <w:sz w:val="16"/>
              </w:rPr>
            </w:pPr>
            <w:r>
              <w:rPr>
                <w:rFonts w:ascii="Arial" w:hAnsi="Arial" w:cs="Arial" w:eastAsia="Arial"/>
                <w:sz w:val="16"/>
              </w:rPr>
              <w:t>&gt;3.0 – 5.0</w:t>
            </w:r>
            <w:r>
              <w:rPr>
                <w:rFonts w:ascii="Arial" w:hAnsi="Arial" w:cs="Arial" w:eastAsia="Arial"/>
                <w:sz w:val="16"/>
              </w:rPr>
              <w:t></w:t>
            </w:r>
            <w:r>
              <w:rPr>
                <w:rFonts w:ascii="Arial" w:hAnsi="Arial" w:cs="Arial" w:eastAsia="Arial"/>
                <w:sz w:val="16"/>
              </w:rPr>
              <w:t>ULN</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69"/>
              <w:ind w:left="73"/>
              <w:rPr>
                <w:sz w:val="16"/>
              </w:rPr>
            </w:pPr>
            <w:r>
              <w:rPr>
                <w:rFonts w:ascii="Arial" w:hAnsi="Arial" w:cs="Arial" w:eastAsia="Arial"/>
                <w:sz w:val="16"/>
              </w:rPr>
              <w:t>&gt;5.0 – 20.0</w:t>
            </w:r>
            <w:r>
              <w:rPr>
                <w:rFonts w:ascii="Arial" w:hAnsi="Arial" w:cs="Arial" w:eastAsia="Arial"/>
                <w:sz w:val="16"/>
              </w:rPr>
              <w:t></w:t>
            </w:r>
            <w:r>
              <w:rPr>
                <w:rFonts w:ascii="Arial" w:hAnsi="Arial" w:cs="Arial" w:eastAsia="Arial"/>
                <w:sz w:val="16"/>
              </w:rPr>
              <w:t>ULN</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69"/>
              <w:ind w:left="74"/>
              <w:rPr>
                <w:sz w:val="16"/>
              </w:rPr>
            </w:pPr>
            <w:r>
              <w:rPr>
                <w:rFonts w:ascii="Arial" w:hAnsi="Arial" w:cs="Arial" w:eastAsia="Arial"/>
                <w:sz w:val="16"/>
              </w:rPr>
              <w:t>&gt;20.0</w:t>
            </w:r>
            <w:r>
              <w:rPr>
                <w:rFonts w:ascii="Arial" w:hAnsi="Arial" w:cs="Arial" w:eastAsia="Arial"/>
                <w:sz w:val="16"/>
              </w:rPr>
              <w:t></w:t>
            </w:r>
            <w:r>
              <w:rPr>
                <w:rFonts w:ascii="Arial" w:hAnsi="Arial" w:cs="Arial" w:eastAsia="Arial"/>
                <w:sz w:val="16"/>
              </w:rPr>
              <w:t>ULN</w:t>
            </w:r>
          </w:p>
        </w:tc>
      </w:tr>
      <w:tr>
        <w:trPr>
          <w:trHeight w:val="347"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76"/>
              <w:ind w:left="74"/>
              <w:rPr>
                <w:sz w:val="16"/>
              </w:rPr>
            </w:pPr>
            <w:r>
              <w:rPr>
                <w:rFonts w:ascii="Arial" w:hAnsi="Arial" w:cs="Arial" w:eastAsia="Arial"/>
                <w:sz w:val="16"/>
              </w:rPr>
              <w:t>ALT</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1"/>
              <w:ind w:left="72"/>
              <w:rPr>
                <w:sz w:val="16"/>
              </w:rPr>
            </w:pPr>
            <w:r>
              <w:rPr>
                <w:rFonts w:ascii="Arial" w:hAnsi="Arial" w:cs="Arial" w:eastAsia="Arial"/>
                <w:sz w:val="16"/>
              </w:rPr>
              <w:t>&gt;ULN – 3.0</w:t>
            </w:r>
            <w:r>
              <w:rPr>
                <w:rFonts w:ascii="Arial" w:hAnsi="Arial" w:cs="Arial" w:eastAsia="Arial"/>
                <w:sz w:val="16"/>
              </w:rPr>
              <w:t></w:t>
            </w:r>
            <w:r>
              <w:rPr>
                <w:rFonts w:ascii="Arial" w:hAnsi="Arial" w:cs="Arial" w:eastAsia="Arial"/>
                <w:sz w:val="16"/>
              </w:rPr>
              <w:t>ULN</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1"/>
              <w:ind w:right="494"/>
              <w:jc w:val="right"/>
              <w:rPr>
                <w:sz w:val="16"/>
              </w:rPr>
            </w:pPr>
            <w:r>
              <w:rPr>
                <w:rFonts w:ascii="Arial" w:hAnsi="Arial" w:cs="Arial" w:eastAsia="Arial"/>
                <w:sz w:val="16"/>
              </w:rPr>
              <w:t>&gt;3.0 – 5.0</w:t>
            </w:r>
            <w:r>
              <w:rPr>
                <w:rFonts w:ascii="Arial" w:hAnsi="Arial" w:cs="Arial" w:eastAsia="Arial"/>
                <w:sz w:val="16"/>
              </w:rPr>
              <w:t></w:t>
            </w:r>
            <w:r>
              <w:rPr>
                <w:rFonts w:ascii="Arial" w:hAnsi="Arial" w:cs="Arial" w:eastAsia="Arial"/>
                <w:sz w:val="16"/>
              </w:rPr>
              <w:t>ULN</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71"/>
              <w:ind w:left="73"/>
              <w:rPr>
                <w:sz w:val="16"/>
              </w:rPr>
            </w:pPr>
            <w:r>
              <w:rPr>
                <w:rFonts w:ascii="Arial" w:hAnsi="Arial" w:cs="Arial" w:eastAsia="Arial"/>
                <w:sz w:val="16"/>
              </w:rPr>
              <w:t>&gt;5.0 – 20.0</w:t>
            </w:r>
            <w:r>
              <w:rPr>
                <w:rFonts w:ascii="Arial" w:hAnsi="Arial" w:cs="Arial" w:eastAsia="Arial"/>
                <w:sz w:val="16"/>
              </w:rPr>
              <w:t></w:t>
            </w:r>
            <w:r>
              <w:rPr>
                <w:rFonts w:ascii="Arial" w:hAnsi="Arial" w:cs="Arial" w:eastAsia="Arial"/>
                <w:sz w:val="16"/>
              </w:rPr>
              <w:t>ULN</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71"/>
              <w:ind w:left="74"/>
              <w:rPr>
                <w:sz w:val="16"/>
              </w:rPr>
            </w:pPr>
            <w:r>
              <w:rPr>
                <w:rFonts w:ascii="Arial" w:hAnsi="Arial" w:cs="Arial" w:eastAsia="Arial"/>
                <w:sz w:val="16"/>
              </w:rPr>
              <w:t>&gt;20.0</w:t>
            </w:r>
            <w:r>
              <w:rPr>
                <w:rFonts w:ascii="Arial" w:hAnsi="Arial" w:cs="Arial" w:eastAsia="Arial"/>
                <w:sz w:val="16"/>
              </w:rPr>
              <w:t></w:t>
            </w:r>
            <w:r>
              <w:rPr>
                <w:rFonts w:ascii="Arial" w:hAnsi="Arial" w:cs="Arial" w:eastAsia="Arial"/>
                <w:sz w:val="16"/>
              </w:rPr>
              <w:t>ULN</w:t>
            </w:r>
          </w:p>
        </w:tc>
      </w:tr>
      <w:tr>
        <w:trPr>
          <w:trHeight w:val="345"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76"/>
              <w:ind w:left="74"/>
              <w:rPr>
                <w:sz w:val="16"/>
              </w:rPr>
            </w:pPr>
            <w:r>
              <w:rPr>
                <w:rFonts w:ascii="Arial" w:hAnsi="Arial" w:cs="Arial" w:eastAsia="Arial"/>
                <w:sz w:val="16"/>
              </w:rPr>
              <w:t>AST</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69"/>
              <w:ind w:left="72"/>
              <w:rPr>
                <w:sz w:val="16"/>
              </w:rPr>
            </w:pPr>
            <w:r>
              <w:rPr>
                <w:rFonts w:ascii="Arial" w:hAnsi="Arial" w:cs="Arial" w:eastAsia="Arial"/>
                <w:sz w:val="16"/>
              </w:rPr>
              <w:t>&gt;ULN – 3.0</w:t>
            </w:r>
            <w:r>
              <w:rPr>
                <w:rFonts w:ascii="Arial" w:hAnsi="Arial" w:cs="Arial" w:eastAsia="Arial"/>
                <w:sz w:val="16"/>
              </w:rPr>
              <w:t></w:t>
            </w:r>
            <w:r>
              <w:rPr>
                <w:rFonts w:ascii="Arial" w:hAnsi="Arial" w:cs="Arial" w:eastAsia="Arial"/>
                <w:sz w:val="16"/>
              </w:rPr>
              <w:t>ULN</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69"/>
              <w:ind w:right="494"/>
              <w:jc w:val="right"/>
              <w:rPr>
                <w:sz w:val="16"/>
              </w:rPr>
            </w:pPr>
            <w:r>
              <w:rPr>
                <w:rFonts w:ascii="Arial" w:hAnsi="Arial" w:cs="Arial" w:eastAsia="Arial"/>
                <w:sz w:val="16"/>
              </w:rPr>
              <w:t>&gt;3.0 – 5.0</w:t>
            </w:r>
            <w:r>
              <w:rPr>
                <w:rFonts w:ascii="Arial" w:hAnsi="Arial" w:cs="Arial" w:eastAsia="Arial"/>
                <w:sz w:val="16"/>
              </w:rPr>
              <w:t></w:t>
            </w:r>
            <w:r>
              <w:rPr>
                <w:rFonts w:ascii="Arial" w:hAnsi="Arial" w:cs="Arial" w:eastAsia="Arial"/>
                <w:sz w:val="16"/>
              </w:rPr>
              <w:t>ULN</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69"/>
              <w:ind w:left="73"/>
              <w:rPr>
                <w:sz w:val="16"/>
              </w:rPr>
            </w:pPr>
            <w:r>
              <w:rPr>
                <w:rFonts w:ascii="Arial" w:hAnsi="Arial" w:cs="Arial" w:eastAsia="Arial"/>
                <w:sz w:val="16"/>
              </w:rPr>
              <w:t>&gt;5.0 – 20.0</w:t>
            </w:r>
            <w:r>
              <w:rPr>
                <w:rFonts w:ascii="Arial" w:hAnsi="Arial" w:cs="Arial" w:eastAsia="Arial"/>
                <w:sz w:val="16"/>
              </w:rPr>
              <w:t></w:t>
            </w:r>
            <w:r>
              <w:rPr>
                <w:rFonts w:ascii="Arial" w:hAnsi="Arial" w:cs="Arial" w:eastAsia="Arial"/>
                <w:sz w:val="16"/>
              </w:rPr>
              <w:t>ULN</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69"/>
              <w:ind w:left="74"/>
              <w:rPr>
                <w:sz w:val="16"/>
              </w:rPr>
            </w:pPr>
            <w:r>
              <w:rPr>
                <w:rFonts w:ascii="Arial" w:hAnsi="Arial" w:cs="Arial" w:eastAsia="Arial"/>
                <w:sz w:val="16"/>
              </w:rPr>
              <w:t>&gt;20.0</w:t>
            </w:r>
            <w:r>
              <w:rPr>
                <w:rFonts w:ascii="Arial" w:hAnsi="Arial" w:cs="Arial" w:eastAsia="Arial"/>
                <w:sz w:val="16"/>
              </w:rPr>
              <w:t></w:t>
            </w:r>
            <w:r>
              <w:rPr>
                <w:rFonts w:ascii="Arial" w:hAnsi="Arial" w:cs="Arial" w:eastAsia="Arial"/>
                <w:sz w:val="16"/>
              </w:rPr>
              <w:t>ULN</w:t>
            </w:r>
          </w:p>
        </w:tc>
      </w:tr>
      <w:tr>
        <w:trPr>
          <w:trHeight w:val="345"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76"/>
              <w:ind w:left="74"/>
              <w:rPr>
                <w:sz w:val="16"/>
              </w:rPr>
            </w:pPr>
            <w:r>
              <w:rPr>
                <w:rFonts w:ascii="Arial" w:hAnsi="Arial" w:cs="Arial" w:eastAsia="Arial"/>
                <w:sz w:val="16"/>
              </w:rPr>
              <w:t>Bilirubin (hyperbilirubinemia)</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69"/>
              <w:ind w:left="72"/>
              <w:rPr>
                <w:sz w:val="16"/>
              </w:rPr>
            </w:pPr>
            <w:r>
              <w:rPr>
                <w:rFonts w:ascii="Arial" w:hAnsi="Arial" w:cs="Arial" w:eastAsia="Arial"/>
                <w:sz w:val="16"/>
              </w:rPr>
              <w:t>&gt;ULN – 1.5</w:t>
            </w:r>
            <w:r>
              <w:rPr>
                <w:rFonts w:ascii="Arial" w:hAnsi="Arial" w:cs="Arial" w:eastAsia="Arial"/>
                <w:sz w:val="16"/>
              </w:rPr>
              <w:t></w:t>
            </w:r>
            <w:r>
              <w:rPr>
                <w:rFonts w:ascii="Arial" w:hAnsi="Arial" w:cs="Arial" w:eastAsia="Arial"/>
                <w:sz w:val="16"/>
              </w:rPr>
              <w:t>ULN</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69"/>
              <w:ind w:right="494"/>
              <w:jc w:val="right"/>
              <w:rPr>
                <w:sz w:val="16"/>
              </w:rPr>
            </w:pPr>
            <w:r>
              <w:rPr>
                <w:rFonts w:ascii="Arial" w:hAnsi="Arial" w:cs="Arial" w:eastAsia="Arial"/>
                <w:sz w:val="16"/>
              </w:rPr>
              <w:t>&gt;1.5 – 3.0</w:t>
            </w:r>
            <w:r>
              <w:rPr>
                <w:rFonts w:ascii="Arial" w:hAnsi="Arial" w:cs="Arial" w:eastAsia="Arial"/>
                <w:sz w:val="16"/>
              </w:rPr>
              <w:t></w:t>
            </w:r>
            <w:r>
              <w:rPr>
                <w:rFonts w:ascii="Arial" w:hAnsi="Arial" w:cs="Arial" w:eastAsia="Arial"/>
                <w:sz w:val="16"/>
              </w:rPr>
              <w:t>ULN</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69"/>
              <w:ind w:left="73"/>
              <w:rPr>
                <w:sz w:val="16"/>
              </w:rPr>
            </w:pPr>
            <w:r>
              <w:rPr>
                <w:rFonts w:ascii="Arial" w:hAnsi="Arial" w:cs="Arial" w:eastAsia="Arial"/>
                <w:sz w:val="16"/>
              </w:rPr>
              <w:t>&gt;3.0 – 10.0</w:t>
            </w:r>
            <w:r>
              <w:rPr>
                <w:rFonts w:ascii="Arial" w:hAnsi="Arial" w:cs="Arial" w:eastAsia="Arial"/>
                <w:sz w:val="16"/>
              </w:rPr>
              <w:t></w:t>
            </w:r>
            <w:r>
              <w:rPr>
                <w:rFonts w:ascii="Arial" w:hAnsi="Arial" w:cs="Arial" w:eastAsia="Arial"/>
                <w:sz w:val="16"/>
              </w:rPr>
              <w:t>ULN</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69"/>
              <w:ind w:left="74"/>
              <w:rPr>
                <w:sz w:val="16"/>
              </w:rPr>
            </w:pPr>
            <w:r>
              <w:rPr>
                <w:rFonts w:ascii="Arial" w:hAnsi="Arial" w:cs="Arial" w:eastAsia="Arial"/>
                <w:sz w:val="16"/>
              </w:rPr>
              <w:t>&gt;10.0</w:t>
            </w:r>
            <w:r>
              <w:rPr>
                <w:rFonts w:ascii="Arial" w:hAnsi="Arial" w:cs="Arial" w:eastAsia="Arial"/>
                <w:sz w:val="16"/>
              </w:rPr>
              <w:t></w:t>
            </w:r>
            <w:r>
              <w:rPr>
                <w:rFonts w:ascii="Arial" w:hAnsi="Arial" w:cs="Arial" w:eastAsia="Arial"/>
                <w:sz w:val="16"/>
              </w:rPr>
              <w:t>ULN</w:t>
            </w:r>
          </w:p>
        </w:tc>
      </w:tr>
      <w:tr>
        <w:trPr>
          <w:trHeight w:val="577"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9"/>
              <w:rPr>
                <w:b/>
                <w:sz w:val="16"/>
              </w:rPr>
            </w:pPr>
          </w:p>
          <w:p>
            <w:pPr>
              <w:pStyle w:val="TableParagraph"/>
              <w:ind w:left="74"/>
              <w:rPr>
                <w:sz w:val="16"/>
              </w:rPr>
            </w:pPr>
            <w:r>
              <w:rPr>
                <w:rFonts w:ascii="Arial" w:hAnsi="Arial" w:cs="Arial" w:eastAsia="Arial"/>
                <w:sz w:val="16"/>
              </w:rPr>
              <w:t>Calcium, serum-low (hypocalcemia)</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1"/>
              <w:ind w:left="72"/>
              <w:rPr>
                <w:sz w:val="16"/>
              </w:rPr>
            </w:pPr>
            <w:r>
              <w:rPr>
                <w:rFonts w:ascii="Arial" w:hAnsi="Arial" w:cs="Arial" w:eastAsia="Arial"/>
                <w:sz w:val="16"/>
              </w:rPr>
              <w:t>&lt;LLN – 8.0 mg/dL</w:t>
            </w:r>
          </w:p>
          <w:p>
            <w:pPr>
              <w:pStyle w:val="TableParagraph"/>
              <w:spacing w:before="61"/>
              <w:ind w:left="72"/>
              <w:rPr>
                <w:sz w:val="16"/>
              </w:rPr>
            </w:pPr>
            <w:r>
              <w:rPr>
                <w:rFonts w:ascii="Arial" w:hAnsi="Arial" w:cs="Arial" w:eastAsia="Arial"/>
                <w:sz w:val="16"/>
              </w:rPr>
              <w:t>&lt;LLN – 2.0 mmol/L</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1"/>
              <w:ind w:left="72"/>
              <w:rPr>
                <w:sz w:val="16"/>
              </w:rPr>
            </w:pPr>
            <w:r>
              <w:rPr>
                <w:rFonts w:ascii="Arial" w:hAnsi="Arial" w:cs="Arial" w:eastAsia="Arial"/>
                <w:sz w:val="16"/>
              </w:rPr>
              <w:t>&lt;8.0 – 7.0 mg/dL</w:t>
            </w:r>
          </w:p>
          <w:p>
            <w:pPr>
              <w:pStyle w:val="TableParagraph"/>
              <w:spacing w:before="61"/>
              <w:ind w:left="72"/>
              <w:rPr>
                <w:sz w:val="16"/>
              </w:rPr>
            </w:pPr>
            <w:r>
              <w:rPr>
                <w:rFonts w:ascii="Arial" w:hAnsi="Arial" w:cs="Arial" w:eastAsia="Arial"/>
                <w:sz w:val="16"/>
              </w:rPr>
              <w:t>&lt;2.0 – 1.75 mmol/L</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71"/>
              <w:ind w:left="73"/>
              <w:rPr>
                <w:sz w:val="16"/>
              </w:rPr>
            </w:pPr>
            <w:r>
              <w:rPr>
                <w:rFonts w:ascii="Arial" w:hAnsi="Arial" w:cs="Arial" w:eastAsia="Arial"/>
                <w:sz w:val="16"/>
              </w:rPr>
              <w:t>&lt;7.0 – 6.0 mg/dL</w:t>
            </w:r>
          </w:p>
          <w:p>
            <w:pPr>
              <w:pStyle w:val="TableParagraph"/>
              <w:spacing w:before="61"/>
              <w:ind w:left="73"/>
              <w:rPr>
                <w:sz w:val="16"/>
              </w:rPr>
            </w:pPr>
            <w:r>
              <w:rPr>
                <w:rFonts w:ascii="Arial" w:hAnsi="Arial" w:cs="Arial" w:eastAsia="Arial"/>
                <w:sz w:val="16"/>
              </w:rPr>
              <w:t>&lt;1.75 – 1.5 mmol/L</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71"/>
              <w:ind w:left="74"/>
              <w:rPr>
                <w:sz w:val="16"/>
              </w:rPr>
            </w:pPr>
            <w:r>
              <w:rPr>
                <w:rFonts w:ascii="Arial" w:hAnsi="Arial" w:cs="Arial" w:eastAsia="Arial"/>
                <w:sz w:val="16"/>
              </w:rPr>
              <w:t>&lt;6.0 mg/dL</w:t>
            </w:r>
          </w:p>
          <w:p>
            <w:pPr>
              <w:pStyle w:val="TableParagraph"/>
              <w:spacing w:before="61"/>
              <w:ind w:left="74"/>
              <w:rPr>
                <w:sz w:val="16"/>
              </w:rPr>
            </w:pPr>
            <w:r>
              <w:rPr>
                <w:rFonts w:ascii="Arial" w:hAnsi="Arial" w:cs="Arial" w:eastAsia="Arial"/>
                <w:sz w:val="16"/>
              </w:rPr>
              <w:t>&lt;1.5 mmol/L</w:t>
            </w:r>
          </w:p>
        </w:tc>
      </w:tr>
      <w:tr>
        <w:trPr>
          <w:trHeight w:val="577"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9"/>
              <w:rPr>
                <w:b/>
                <w:sz w:val="16"/>
              </w:rPr>
            </w:pPr>
          </w:p>
          <w:p>
            <w:pPr>
              <w:pStyle w:val="TableParagraph"/>
              <w:ind w:left="74"/>
              <w:rPr>
                <w:sz w:val="16"/>
              </w:rPr>
            </w:pPr>
            <w:r>
              <w:rPr>
                <w:rFonts w:ascii="Arial" w:hAnsi="Arial" w:cs="Arial" w:eastAsia="Arial"/>
                <w:sz w:val="16"/>
              </w:rPr>
              <w:t>Calcium, serum-high (hypercalcemia)</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1"/>
              <w:ind w:left="72"/>
              <w:rPr>
                <w:sz w:val="16"/>
              </w:rPr>
            </w:pPr>
            <w:r>
              <w:rPr>
                <w:rFonts w:ascii="Arial" w:hAnsi="Arial" w:cs="Arial" w:eastAsia="Arial"/>
                <w:sz w:val="16"/>
              </w:rPr>
              <w:t>&gt;ULN – 11.5</w:t>
            </w:r>
            <w:r>
              <w:rPr>
                <w:rFonts w:ascii="Arial" w:hAnsi="Arial" w:cs="Arial" w:eastAsia="Arial"/>
                <w:spacing w:val="-6"/>
                <w:sz w:val="16"/>
              </w:rPr>
              <w:t> </w:t>
            </w:r>
            <w:r>
              <w:rPr>
                <w:rFonts w:ascii="Arial" w:hAnsi="Arial" w:cs="Arial" w:eastAsia="Arial"/>
                <w:sz w:val="16"/>
              </w:rPr>
              <w:t>mg/dL</w:t>
            </w:r>
          </w:p>
          <w:p>
            <w:pPr>
              <w:pStyle w:val="TableParagraph"/>
              <w:spacing w:before="61"/>
              <w:ind w:left="72"/>
              <w:rPr>
                <w:sz w:val="16"/>
              </w:rPr>
            </w:pPr>
            <w:r>
              <w:rPr>
                <w:rFonts w:ascii="Arial" w:hAnsi="Arial" w:cs="Arial" w:eastAsia="Arial"/>
                <w:sz w:val="16"/>
              </w:rPr>
              <w:t>&gt;ULN – 2.9</w:t>
            </w:r>
            <w:r>
              <w:rPr>
                <w:rFonts w:ascii="Arial" w:hAnsi="Arial" w:cs="Arial" w:eastAsia="Arial"/>
                <w:spacing w:val="-6"/>
                <w:sz w:val="16"/>
              </w:rPr>
              <w:t> </w:t>
            </w:r>
            <w:r>
              <w:rPr>
                <w:rFonts w:ascii="Arial" w:hAnsi="Arial" w:cs="Arial" w:eastAsia="Arial"/>
                <w:sz w:val="16"/>
              </w:rPr>
              <w:t>mmol/L</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1"/>
              <w:ind w:left="72"/>
              <w:rPr>
                <w:sz w:val="16"/>
              </w:rPr>
            </w:pPr>
            <w:r>
              <w:rPr>
                <w:rFonts w:ascii="Arial" w:hAnsi="Arial" w:cs="Arial" w:eastAsia="Arial"/>
                <w:sz w:val="16"/>
              </w:rPr>
              <w:t>&gt;11.5 – 12.5 mg/dL</w:t>
            </w:r>
          </w:p>
          <w:p>
            <w:pPr>
              <w:pStyle w:val="TableParagraph"/>
              <w:spacing w:before="61"/>
              <w:ind w:left="72"/>
              <w:rPr>
                <w:sz w:val="16"/>
              </w:rPr>
            </w:pPr>
            <w:r>
              <w:rPr>
                <w:rFonts w:ascii="Arial" w:hAnsi="Arial" w:cs="Arial" w:eastAsia="Arial"/>
                <w:sz w:val="16"/>
              </w:rPr>
              <w:t>&gt;2.9 – 3.1 mmol/L</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71"/>
              <w:ind w:left="73"/>
              <w:rPr>
                <w:sz w:val="16"/>
              </w:rPr>
            </w:pPr>
            <w:r>
              <w:rPr>
                <w:rFonts w:ascii="Arial" w:hAnsi="Arial" w:cs="Arial" w:eastAsia="Arial"/>
                <w:sz w:val="16"/>
              </w:rPr>
              <w:t>&gt;12.5 – 13.5 mg/dL</w:t>
            </w:r>
          </w:p>
          <w:p>
            <w:pPr>
              <w:pStyle w:val="TableParagraph"/>
              <w:spacing w:before="61"/>
              <w:ind w:left="73"/>
              <w:rPr>
                <w:sz w:val="16"/>
              </w:rPr>
            </w:pPr>
            <w:r>
              <w:rPr>
                <w:rFonts w:ascii="Arial" w:hAnsi="Arial" w:cs="Arial" w:eastAsia="Arial"/>
                <w:sz w:val="16"/>
              </w:rPr>
              <w:t>&gt;3.1 – 3.4 mmol/L</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71"/>
              <w:ind w:left="74"/>
              <w:rPr>
                <w:sz w:val="16"/>
              </w:rPr>
            </w:pPr>
            <w:r>
              <w:rPr>
                <w:rFonts w:ascii="Arial" w:hAnsi="Arial" w:cs="Arial" w:eastAsia="Arial"/>
                <w:sz w:val="16"/>
              </w:rPr>
              <w:t>&gt;13.5</w:t>
            </w:r>
            <w:r>
              <w:rPr>
                <w:rFonts w:ascii="Arial" w:hAnsi="Arial" w:cs="Arial" w:eastAsia="Arial"/>
                <w:spacing w:val="-6"/>
                <w:sz w:val="16"/>
              </w:rPr>
              <w:t> </w:t>
            </w:r>
            <w:r>
              <w:rPr>
                <w:rFonts w:ascii="Arial" w:hAnsi="Arial" w:cs="Arial" w:eastAsia="Arial"/>
                <w:sz w:val="16"/>
              </w:rPr>
              <w:t>mg/dL</w:t>
            </w:r>
          </w:p>
          <w:p>
            <w:pPr>
              <w:pStyle w:val="TableParagraph"/>
              <w:spacing w:before="61"/>
              <w:ind w:left="74"/>
              <w:rPr>
                <w:sz w:val="16"/>
              </w:rPr>
            </w:pPr>
            <w:r>
              <w:rPr>
                <w:rFonts w:ascii="Arial" w:hAnsi="Arial" w:cs="Arial" w:eastAsia="Arial"/>
                <w:sz w:val="16"/>
              </w:rPr>
              <w:t>&gt;3.4</w:t>
            </w:r>
            <w:r>
              <w:rPr>
                <w:rFonts w:ascii="Arial" w:hAnsi="Arial" w:cs="Arial" w:eastAsia="Arial"/>
                <w:spacing w:val="-5"/>
                <w:sz w:val="16"/>
              </w:rPr>
              <w:t> </w:t>
            </w:r>
            <w:r>
              <w:rPr>
                <w:rFonts w:ascii="Arial" w:hAnsi="Arial" w:cs="Arial" w:eastAsia="Arial"/>
                <w:sz w:val="16"/>
              </w:rPr>
              <w:t>mmol/L</w:t>
            </w:r>
          </w:p>
        </w:tc>
      </w:tr>
      <w:tr>
        <w:trPr>
          <w:trHeight w:val="580"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100"/>
              <w:ind w:left="74" w:right="998"/>
              <w:rPr>
                <w:sz w:val="16"/>
              </w:rPr>
            </w:pPr>
            <w:r>
              <w:rPr>
                <w:rFonts w:ascii="Arial" w:hAnsi="Arial" w:cs="Arial" w:eastAsia="Arial"/>
                <w:sz w:val="16"/>
              </w:rPr>
              <w:t>Cholesterol, serum-high (hypercholesterolemia)</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1"/>
              <w:ind w:left="72"/>
              <w:rPr>
                <w:sz w:val="16"/>
              </w:rPr>
            </w:pPr>
            <w:r>
              <w:rPr>
                <w:rFonts w:ascii="Arial" w:hAnsi="Arial" w:cs="Arial" w:eastAsia="Arial"/>
                <w:sz w:val="16"/>
              </w:rPr>
              <w:t>&gt;ULN – 300 mg/dL</w:t>
            </w:r>
          </w:p>
          <w:p>
            <w:pPr>
              <w:pStyle w:val="TableParagraph"/>
              <w:spacing w:before="61"/>
              <w:ind w:left="72"/>
              <w:rPr>
                <w:sz w:val="16"/>
              </w:rPr>
            </w:pPr>
            <w:r>
              <w:rPr>
                <w:rFonts w:ascii="Arial" w:hAnsi="Arial" w:cs="Arial" w:eastAsia="Arial"/>
                <w:sz w:val="16"/>
              </w:rPr>
              <w:t>&gt;ULN – 7.75 mmol/L</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1"/>
              <w:ind w:left="72"/>
              <w:rPr>
                <w:sz w:val="16"/>
              </w:rPr>
            </w:pPr>
            <w:r>
              <w:rPr>
                <w:rFonts w:ascii="Arial" w:hAnsi="Arial" w:cs="Arial" w:eastAsia="Arial"/>
                <w:sz w:val="16"/>
              </w:rPr>
              <w:t>&gt;300 – 400 mg/dL</w:t>
            </w:r>
          </w:p>
          <w:p>
            <w:pPr>
              <w:pStyle w:val="TableParagraph"/>
              <w:spacing w:before="61"/>
              <w:ind w:left="72"/>
              <w:rPr>
                <w:sz w:val="16"/>
              </w:rPr>
            </w:pPr>
            <w:r>
              <w:rPr>
                <w:rFonts w:ascii="Arial" w:hAnsi="Arial" w:cs="Arial" w:eastAsia="Arial"/>
                <w:sz w:val="16"/>
              </w:rPr>
              <w:t>&gt;7.75 – 10.34 mmol/L</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71"/>
              <w:ind w:left="73"/>
              <w:rPr>
                <w:sz w:val="16"/>
              </w:rPr>
            </w:pPr>
            <w:r>
              <w:rPr>
                <w:rFonts w:ascii="Arial" w:hAnsi="Arial" w:cs="Arial" w:eastAsia="Arial"/>
                <w:sz w:val="16"/>
              </w:rPr>
              <w:t>&gt;400 – 500 mg/dL</w:t>
            </w:r>
          </w:p>
          <w:p>
            <w:pPr>
              <w:pStyle w:val="TableParagraph"/>
              <w:spacing w:before="61"/>
              <w:ind w:left="73"/>
              <w:rPr>
                <w:sz w:val="16"/>
              </w:rPr>
            </w:pPr>
            <w:r>
              <w:rPr>
                <w:rFonts w:ascii="Arial" w:hAnsi="Arial" w:cs="Arial" w:eastAsia="Arial"/>
                <w:sz w:val="16"/>
              </w:rPr>
              <w:t>&gt;10.34 – 12.92 mmol/L</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71"/>
              <w:ind w:left="74"/>
              <w:rPr>
                <w:sz w:val="16"/>
              </w:rPr>
            </w:pPr>
            <w:r>
              <w:rPr>
                <w:rFonts w:ascii="Arial" w:hAnsi="Arial" w:cs="Arial" w:eastAsia="Arial"/>
                <w:sz w:val="16"/>
              </w:rPr>
              <w:t>&gt;500 mg/dL</w:t>
            </w:r>
          </w:p>
          <w:p>
            <w:pPr>
              <w:pStyle w:val="TableParagraph"/>
              <w:spacing w:before="61"/>
              <w:ind w:left="74"/>
              <w:rPr>
                <w:sz w:val="16"/>
              </w:rPr>
            </w:pPr>
            <w:r>
              <w:rPr>
                <w:rFonts w:ascii="Arial" w:hAnsi="Arial" w:cs="Arial" w:eastAsia="Arial"/>
                <w:sz w:val="16"/>
              </w:rPr>
              <w:t>&gt;12.92 mmol/L</w:t>
            </w:r>
          </w:p>
        </w:tc>
      </w:tr>
      <w:tr>
        <w:trPr>
          <w:trHeight w:val="345"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76"/>
              <w:ind w:left="74"/>
              <w:rPr>
                <w:sz w:val="16"/>
              </w:rPr>
            </w:pPr>
            <w:r>
              <w:rPr>
                <w:rFonts w:ascii="Arial" w:hAnsi="Arial" w:cs="Arial" w:eastAsia="Arial"/>
                <w:sz w:val="16"/>
              </w:rPr>
              <w:t>Creatinine</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69"/>
              <w:ind w:left="72"/>
              <w:rPr>
                <w:sz w:val="16"/>
              </w:rPr>
            </w:pPr>
            <w:r>
              <w:rPr>
                <w:rFonts w:ascii="Arial" w:hAnsi="Arial" w:cs="Arial" w:eastAsia="Arial"/>
                <w:sz w:val="16"/>
              </w:rPr>
              <w:t>&gt;ULN – 1.5</w:t>
            </w:r>
            <w:r>
              <w:rPr>
                <w:rFonts w:ascii="Arial" w:hAnsi="Arial" w:cs="Arial" w:eastAsia="Arial"/>
                <w:sz w:val="16"/>
              </w:rPr>
              <w:t></w:t>
            </w:r>
            <w:r>
              <w:rPr>
                <w:rFonts w:ascii="Arial" w:hAnsi="Arial" w:cs="Arial" w:eastAsia="Arial"/>
                <w:sz w:val="16"/>
              </w:rPr>
              <w:t>ULN</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69"/>
              <w:ind w:right="494"/>
              <w:jc w:val="right"/>
              <w:rPr>
                <w:sz w:val="16"/>
              </w:rPr>
            </w:pPr>
            <w:r>
              <w:rPr>
                <w:rFonts w:ascii="Arial" w:hAnsi="Arial" w:cs="Arial" w:eastAsia="Arial"/>
                <w:sz w:val="16"/>
              </w:rPr>
              <w:t>&gt;1.5 – 3.0</w:t>
            </w:r>
            <w:r>
              <w:rPr>
                <w:rFonts w:ascii="Arial" w:hAnsi="Arial" w:cs="Arial" w:eastAsia="Arial"/>
                <w:sz w:val="16"/>
              </w:rPr>
              <w:t></w:t>
            </w:r>
            <w:r>
              <w:rPr>
                <w:rFonts w:ascii="Arial" w:hAnsi="Arial" w:cs="Arial" w:eastAsia="Arial"/>
                <w:sz w:val="16"/>
              </w:rPr>
              <w:t>ULN</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69"/>
              <w:ind w:left="73"/>
              <w:rPr>
                <w:sz w:val="16"/>
              </w:rPr>
            </w:pPr>
            <w:r>
              <w:rPr>
                <w:rFonts w:ascii="Arial" w:hAnsi="Arial" w:cs="Arial" w:eastAsia="Arial"/>
                <w:sz w:val="16"/>
              </w:rPr>
              <w:t>&gt;3.0 – 6.0</w:t>
            </w:r>
            <w:r>
              <w:rPr>
                <w:rFonts w:ascii="Arial" w:hAnsi="Arial" w:cs="Arial" w:eastAsia="Arial"/>
                <w:sz w:val="16"/>
              </w:rPr>
              <w:t></w:t>
            </w:r>
            <w:r>
              <w:rPr>
                <w:rFonts w:ascii="Arial" w:hAnsi="Arial" w:cs="Arial" w:eastAsia="Arial"/>
                <w:sz w:val="16"/>
              </w:rPr>
              <w:t>ULN</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69"/>
              <w:ind w:left="74"/>
              <w:rPr>
                <w:sz w:val="16"/>
              </w:rPr>
            </w:pPr>
            <w:r>
              <w:rPr>
                <w:rFonts w:ascii="Arial" w:hAnsi="Arial" w:cs="Arial" w:eastAsia="Arial"/>
                <w:sz w:val="16"/>
              </w:rPr>
              <w:t>&gt;6.0</w:t>
            </w:r>
            <w:r>
              <w:rPr>
                <w:rFonts w:ascii="Arial" w:hAnsi="Arial" w:cs="Arial" w:eastAsia="Arial"/>
                <w:sz w:val="16"/>
              </w:rPr>
              <w:t></w:t>
            </w:r>
            <w:r>
              <w:rPr>
                <w:rFonts w:ascii="Arial" w:hAnsi="Arial" w:cs="Arial" w:eastAsia="Arial"/>
                <w:sz w:val="16"/>
              </w:rPr>
              <w:t>ULN</w:t>
            </w:r>
          </w:p>
        </w:tc>
      </w:tr>
      <w:tr>
        <w:trPr>
          <w:trHeight w:val="345"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76"/>
              <w:ind w:left="74"/>
              <w:rPr>
                <w:sz w:val="16"/>
              </w:rPr>
            </w:pPr>
            <w:r>
              <w:rPr>
                <w:rFonts w:ascii="Arial" w:hAnsi="Arial" w:cs="Arial" w:eastAsia="Arial"/>
                <w:sz w:val="16"/>
              </w:rPr>
              <w:t>GGT (γ-glutamyl transpeptidase)</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69"/>
              <w:ind w:left="72"/>
              <w:rPr>
                <w:sz w:val="16"/>
              </w:rPr>
            </w:pPr>
            <w:r>
              <w:rPr>
                <w:rFonts w:ascii="Arial" w:hAnsi="Arial" w:cs="Arial" w:eastAsia="Arial"/>
                <w:sz w:val="16"/>
              </w:rPr>
              <w:t>&gt;ULN – 3.0</w:t>
            </w:r>
            <w:r>
              <w:rPr>
                <w:rFonts w:ascii="Arial" w:hAnsi="Arial" w:cs="Arial" w:eastAsia="Arial"/>
                <w:sz w:val="16"/>
              </w:rPr>
              <w:t></w:t>
            </w:r>
            <w:r>
              <w:rPr>
                <w:rFonts w:ascii="Arial" w:hAnsi="Arial" w:cs="Arial" w:eastAsia="Arial"/>
                <w:sz w:val="16"/>
              </w:rPr>
              <w:t>ULN</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69"/>
              <w:ind w:right="494"/>
              <w:jc w:val="right"/>
              <w:rPr>
                <w:sz w:val="16"/>
              </w:rPr>
            </w:pPr>
            <w:r>
              <w:rPr>
                <w:rFonts w:ascii="Arial" w:hAnsi="Arial" w:cs="Arial" w:eastAsia="Arial"/>
                <w:sz w:val="16"/>
              </w:rPr>
              <w:t>&gt;3.0 – 5.0</w:t>
            </w:r>
            <w:r>
              <w:rPr>
                <w:rFonts w:ascii="Arial" w:hAnsi="Arial" w:cs="Arial" w:eastAsia="Arial"/>
                <w:sz w:val="16"/>
              </w:rPr>
              <w:t></w:t>
            </w:r>
            <w:r>
              <w:rPr>
                <w:rFonts w:ascii="Arial" w:hAnsi="Arial" w:cs="Arial" w:eastAsia="Arial"/>
                <w:sz w:val="16"/>
              </w:rPr>
              <w:t>ULN</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69"/>
              <w:ind w:left="73"/>
              <w:rPr>
                <w:sz w:val="16"/>
              </w:rPr>
            </w:pPr>
            <w:r>
              <w:rPr>
                <w:rFonts w:ascii="Arial" w:hAnsi="Arial" w:cs="Arial" w:eastAsia="Arial"/>
                <w:sz w:val="16"/>
              </w:rPr>
              <w:t>&gt;5.0 – 20.0</w:t>
            </w:r>
            <w:r>
              <w:rPr>
                <w:rFonts w:ascii="Arial" w:hAnsi="Arial" w:cs="Arial" w:eastAsia="Arial"/>
                <w:sz w:val="16"/>
              </w:rPr>
              <w:t></w:t>
            </w:r>
            <w:r>
              <w:rPr>
                <w:rFonts w:ascii="Arial" w:hAnsi="Arial" w:cs="Arial" w:eastAsia="Arial"/>
                <w:sz w:val="16"/>
              </w:rPr>
              <w:t>ULN</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69"/>
              <w:ind w:left="74"/>
              <w:rPr>
                <w:sz w:val="16"/>
              </w:rPr>
            </w:pPr>
            <w:r>
              <w:rPr>
                <w:rFonts w:ascii="Arial" w:hAnsi="Arial" w:cs="Arial" w:eastAsia="Arial"/>
                <w:sz w:val="16"/>
              </w:rPr>
              <w:t>&gt;20.0</w:t>
            </w:r>
            <w:r>
              <w:rPr>
                <w:rFonts w:ascii="Arial" w:hAnsi="Arial" w:cs="Arial" w:eastAsia="Arial"/>
                <w:sz w:val="16"/>
              </w:rPr>
              <w:t></w:t>
            </w:r>
            <w:r>
              <w:rPr>
                <w:rFonts w:ascii="Arial" w:hAnsi="Arial" w:cs="Arial" w:eastAsia="Arial"/>
                <w:sz w:val="16"/>
              </w:rPr>
              <w:t>ULN</w:t>
            </w:r>
          </w:p>
        </w:tc>
      </w:tr>
      <w:tr>
        <w:trPr>
          <w:trHeight w:val="1007"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rPr>
                <w:b/>
                <w:sz w:val="18"/>
              </w:rPr>
            </w:pPr>
          </w:p>
          <w:p>
            <w:pPr>
              <w:pStyle w:val="TableParagraph"/>
              <w:spacing w:before="4"/>
              <w:rPr>
                <w:b/>
                <w:sz w:val="17"/>
              </w:rPr>
            </w:pPr>
          </w:p>
          <w:p>
            <w:pPr>
              <w:pStyle w:val="TableParagraph"/>
              <w:ind w:left="74"/>
              <w:rPr>
                <w:sz w:val="16"/>
              </w:rPr>
            </w:pPr>
            <w:r>
              <w:rPr>
                <w:rFonts w:ascii="Arial" w:hAnsi="Arial" w:cs="Arial" w:eastAsia="Arial"/>
                <w:sz w:val="16"/>
              </w:rPr>
              <w:t>Glucose, serum-high (hyperglycemia)</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1"/>
              <w:rPr>
                <w:b/>
                <w:sz w:val="14"/>
              </w:rPr>
            </w:pPr>
          </w:p>
          <w:p>
            <w:pPr>
              <w:pStyle w:val="TableParagraph"/>
              <w:ind w:left="72"/>
              <w:rPr>
                <w:sz w:val="16"/>
              </w:rPr>
            </w:pPr>
            <w:r>
              <w:rPr>
                <w:rFonts w:ascii="Arial" w:hAnsi="Arial" w:cs="Arial" w:eastAsia="Arial"/>
                <w:sz w:val="16"/>
              </w:rPr>
              <w:t>Fasting glucose value:</w:t>
            </w:r>
          </w:p>
          <w:p>
            <w:pPr>
              <w:pStyle w:val="TableParagraph"/>
              <w:spacing w:before="61"/>
              <w:ind w:left="72"/>
              <w:rPr>
                <w:sz w:val="16"/>
              </w:rPr>
            </w:pPr>
            <w:r>
              <w:rPr>
                <w:rFonts w:ascii="Arial" w:hAnsi="Arial" w:cs="Arial" w:eastAsia="Arial"/>
                <w:sz w:val="16"/>
              </w:rPr>
              <w:t>&gt;ULN – 160 mg/dL</w:t>
            </w:r>
          </w:p>
          <w:p>
            <w:pPr>
              <w:pStyle w:val="TableParagraph"/>
              <w:spacing w:before="61"/>
              <w:ind w:left="72"/>
              <w:rPr>
                <w:sz w:val="16"/>
              </w:rPr>
            </w:pPr>
            <w:r>
              <w:rPr>
                <w:rFonts w:ascii="Arial" w:hAnsi="Arial" w:cs="Arial" w:eastAsia="Arial"/>
                <w:sz w:val="16"/>
              </w:rPr>
              <w:t>&gt;ULN – 8.9 mmol/L</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1"/>
              <w:rPr>
                <w:b/>
                <w:sz w:val="14"/>
              </w:rPr>
            </w:pPr>
          </w:p>
          <w:p>
            <w:pPr>
              <w:pStyle w:val="TableParagraph"/>
              <w:ind w:left="72"/>
              <w:rPr>
                <w:sz w:val="16"/>
              </w:rPr>
            </w:pPr>
            <w:r>
              <w:rPr>
                <w:rFonts w:ascii="Arial" w:hAnsi="Arial" w:cs="Arial" w:eastAsia="Arial"/>
                <w:sz w:val="16"/>
              </w:rPr>
              <w:t>Fasting glucose value:</w:t>
            </w:r>
          </w:p>
          <w:p>
            <w:pPr>
              <w:pStyle w:val="TableParagraph"/>
              <w:spacing w:before="61"/>
              <w:ind w:left="72"/>
              <w:rPr>
                <w:sz w:val="16"/>
              </w:rPr>
            </w:pPr>
            <w:r>
              <w:rPr>
                <w:rFonts w:ascii="Arial" w:hAnsi="Arial" w:cs="Arial" w:eastAsia="Arial"/>
                <w:sz w:val="16"/>
              </w:rPr>
              <w:t>&gt;160 – 250 mg/dL</w:t>
            </w:r>
          </w:p>
          <w:p>
            <w:pPr>
              <w:pStyle w:val="TableParagraph"/>
              <w:spacing w:before="61"/>
              <w:ind w:left="72"/>
              <w:rPr>
                <w:sz w:val="16"/>
              </w:rPr>
            </w:pPr>
            <w:r>
              <w:rPr>
                <w:rFonts w:ascii="Arial" w:hAnsi="Arial" w:cs="Arial" w:eastAsia="Arial"/>
                <w:sz w:val="16"/>
              </w:rPr>
              <w:t>&gt;8.9 – 13.9 mmol/L</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1"/>
              <w:rPr>
                <w:b/>
                <w:sz w:val="14"/>
              </w:rPr>
            </w:pPr>
          </w:p>
          <w:p>
            <w:pPr>
              <w:pStyle w:val="TableParagraph"/>
              <w:ind w:left="73"/>
              <w:rPr>
                <w:sz w:val="16"/>
              </w:rPr>
            </w:pPr>
            <w:r>
              <w:rPr>
                <w:rFonts w:ascii="Arial" w:hAnsi="Arial" w:cs="Arial" w:eastAsia="Arial"/>
                <w:sz w:val="16"/>
              </w:rPr>
              <w:t>&gt;250 – 500 mg/dL;</w:t>
            </w:r>
          </w:p>
          <w:p>
            <w:pPr>
              <w:pStyle w:val="TableParagraph"/>
              <w:spacing w:before="61"/>
              <w:ind w:left="73"/>
              <w:rPr>
                <w:sz w:val="16"/>
              </w:rPr>
            </w:pPr>
            <w:r>
              <w:rPr>
                <w:rFonts w:ascii="Arial" w:hAnsi="Arial" w:cs="Arial" w:eastAsia="Arial"/>
                <w:sz w:val="16"/>
              </w:rPr>
              <w:t>&gt;13.9 – 27.8 mmol/L;</w:t>
            </w:r>
          </w:p>
          <w:p>
            <w:pPr>
              <w:pStyle w:val="TableParagraph"/>
              <w:spacing w:before="61"/>
              <w:ind w:left="73"/>
              <w:rPr>
                <w:sz w:val="16"/>
              </w:rPr>
            </w:pPr>
            <w:r>
              <w:rPr>
                <w:rFonts w:ascii="Arial" w:hAnsi="Arial" w:cs="Arial" w:eastAsia="Arial"/>
                <w:sz w:val="16"/>
              </w:rPr>
              <w:t>hospitalization indicated</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71"/>
              <w:ind w:left="74"/>
              <w:rPr>
                <w:sz w:val="16"/>
              </w:rPr>
            </w:pPr>
            <w:r>
              <w:rPr>
                <w:rFonts w:ascii="Arial" w:hAnsi="Arial" w:cs="Arial" w:eastAsia="Arial"/>
                <w:sz w:val="16"/>
              </w:rPr>
              <w:t>&gt;500 mg/dL;</w:t>
            </w:r>
          </w:p>
          <w:p>
            <w:pPr>
              <w:pStyle w:val="TableParagraph"/>
              <w:spacing w:before="61"/>
              <w:ind w:left="74"/>
              <w:rPr>
                <w:sz w:val="16"/>
              </w:rPr>
            </w:pPr>
            <w:r>
              <w:rPr>
                <w:rFonts w:ascii="Arial" w:hAnsi="Arial" w:cs="Arial" w:eastAsia="Arial"/>
                <w:sz w:val="16"/>
              </w:rPr>
              <w:t>&gt;27.8 mmol/L;</w:t>
            </w:r>
          </w:p>
          <w:p>
            <w:pPr>
              <w:pStyle w:val="TableParagraph"/>
              <w:spacing w:before="58"/>
              <w:ind w:left="74" w:right="451"/>
              <w:rPr>
                <w:sz w:val="16"/>
              </w:rPr>
            </w:pPr>
            <w:r>
              <w:rPr>
                <w:rFonts w:ascii="Arial" w:hAnsi="Arial" w:cs="Arial" w:eastAsia="Arial"/>
                <w:sz w:val="16"/>
              </w:rPr>
              <w:t>life-threatening consequences</w:t>
            </w:r>
          </w:p>
        </w:tc>
      </w:tr>
      <w:tr>
        <w:trPr>
          <w:trHeight w:val="1189"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rPr>
                <w:b/>
                <w:sz w:val="18"/>
              </w:rPr>
            </w:pPr>
          </w:p>
          <w:p>
            <w:pPr>
              <w:pStyle w:val="TableParagraph"/>
              <w:spacing w:before="3"/>
              <w:rPr>
                <w:b/>
                <w:sz w:val="25"/>
              </w:rPr>
            </w:pPr>
          </w:p>
          <w:p>
            <w:pPr>
              <w:pStyle w:val="TableParagraph"/>
              <w:spacing w:before="1"/>
              <w:ind w:left="74"/>
              <w:rPr>
                <w:sz w:val="16"/>
              </w:rPr>
            </w:pPr>
            <w:r>
              <w:rPr>
                <w:rFonts w:ascii="Arial" w:hAnsi="Arial" w:cs="Arial" w:eastAsia="Arial"/>
                <w:sz w:val="16"/>
              </w:rPr>
              <w:t>Glucose, serum-low (hypoglycemia)</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rPr>
                <w:b/>
                <w:sz w:val="18"/>
              </w:rPr>
            </w:pPr>
          </w:p>
          <w:p>
            <w:pPr>
              <w:pStyle w:val="TableParagraph"/>
              <w:spacing w:before="7"/>
              <w:rPr>
                <w:b/>
                <w:sz w:val="14"/>
              </w:rPr>
            </w:pPr>
          </w:p>
          <w:p>
            <w:pPr>
              <w:pStyle w:val="TableParagraph"/>
              <w:spacing w:before="1"/>
              <w:ind w:left="72"/>
              <w:rPr>
                <w:sz w:val="16"/>
              </w:rPr>
            </w:pPr>
            <w:r>
              <w:rPr>
                <w:rFonts w:ascii="Arial" w:hAnsi="Arial" w:cs="Arial" w:eastAsia="Arial"/>
                <w:sz w:val="16"/>
              </w:rPr>
              <w:t>&lt;LLN – 55 mg/dL</w:t>
            </w:r>
          </w:p>
          <w:p>
            <w:pPr>
              <w:pStyle w:val="TableParagraph"/>
              <w:spacing w:before="58"/>
              <w:ind w:left="72"/>
              <w:rPr>
                <w:sz w:val="16"/>
              </w:rPr>
            </w:pPr>
            <w:r>
              <w:rPr>
                <w:rFonts w:ascii="Arial" w:hAnsi="Arial" w:cs="Arial" w:eastAsia="Arial"/>
                <w:sz w:val="16"/>
              </w:rPr>
              <w:t>&lt;LLN – 3.0 mmol/L</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rPr>
                <w:b/>
                <w:sz w:val="18"/>
              </w:rPr>
            </w:pPr>
          </w:p>
          <w:p>
            <w:pPr>
              <w:pStyle w:val="TableParagraph"/>
              <w:spacing w:before="7"/>
              <w:rPr>
                <w:b/>
                <w:sz w:val="14"/>
              </w:rPr>
            </w:pPr>
          </w:p>
          <w:p>
            <w:pPr>
              <w:pStyle w:val="TableParagraph"/>
              <w:spacing w:before="1"/>
              <w:ind w:left="72"/>
              <w:rPr>
                <w:sz w:val="16"/>
              </w:rPr>
            </w:pPr>
            <w:r>
              <w:rPr>
                <w:rFonts w:ascii="Arial" w:hAnsi="Arial" w:cs="Arial" w:eastAsia="Arial"/>
                <w:sz w:val="16"/>
              </w:rPr>
              <w:t>&lt;55 – 40 mg/dL</w:t>
            </w:r>
          </w:p>
          <w:p>
            <w:pPr>
              <w:pStyle w:val="TableParagraph"/>
              <w:spacing w:before="58"/>
              <w:ind w:left="72"/>
              <w:rPr>
                <w:sz w:val="16"/>
              </w:rPr>
            </w:pPr>
            <w:r>
              <w:rPr>
                <w:rFonts w:ascii="Arial" w:hAnsi="Arial" w:cs="Arial" w:eastAsia="Arial"/>
                <w:sz w:val="16"/>
              </w:rPr>
              <w:t>&lt;3.0 – 2.2 mmol/L</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rPr>
                <w:b/>
                <w:sz w:val="18"/>
              </w:rPr>
            </w:pPr>
          </w:p>
          <w:p>
            <w:pPr>
              <w:pStyle w:val="TableParagraph"/>
              <w:spacing w:before="7"/>
              <w:rPr>
                <w:b/>
                <w:sz w:val="14"/>
              </w:rPr>
            </w:pPr>
          </w:p>
          <w:p>
            <w:pPr>
              <w:pStyle w:val="TableParagraph"/>
              <w:spacing w:before="1"/>
              <w:ind w:left="73"/>
              <w:rPr>
                <w:sz w:val="16"/>
              </w:rPr>
            </w:pPr>
            <w:r>
              <w:rPr>
                <w:rFonts w:ascii="Arial" w:hAnsi="Arial" w:cs="Arial" w:eastAsia="Arial"/>
                <w:sz w:val="16"/>
              </w:rPr>
              <w:t>&lt;40 – 30 mg/dL</w:t>
            </w:r>
          </w:p>
          <w:p>
            <w:pPr>
              <w:pStyle w:val="TableParagraph"/>
              <w:spacing w:before="58"/>
              <w:ind w:left="73"/>
              <w:rPr>
                <w:sz w:val="16"/>
              </w:rPr>
            </w:pPr>
            <w:r>
              <w:rPr>
                <w:rFonts w:ascii="Arial" w:hAnsi="Arial" w:cs="Arial" w:eastAsia="Arial"/>
                <w:sz w:val="16"/>
              </w:rPr>
              <w:t>&lt;2.2 – 1.7 mmol/L</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68"/>
              <w:ind w:left="74"/>
              <w:rPr>
                <w:sz w:val="16"/>
              </w:rPr>
            </w:pPr>
            <w:r>
              <w:rPr>
                <w:rFonts w:ascii="Arial" w:hAnsi="Arial" w:cs="Arial" w:eastAsia="Arial"/>
                <w:sz w:val="16"/>
              </w:rPr>
              <w:t>&lt;30 mg/dL</w:t>
            </w:r>
          </w:p>
          <w:p>
            <w:pPr>
              <w:pStyle w:val="TableParagraph"/>
              <w:spacing w:before="61"/>
              <w:ind w:left="74"/>
              <w:rPr>
                <w:sz w:val="16"/>
              </w:rPr>
            </w:pPr>
            <w:r>
              <w:rPr>
                <w:rFonts w:ascii="Arial" w:hAnsi="Arial" w:cs="Arial" w:eastAsia="Arial"/>
                <w:sz w:val="16"/>
              </w:rPr>
              <w:t>&lt;1.7 mmol/L</w:t>
            </w:r>
          </w:p>
          <w:p>
            <w:pPr>
              <w:pStyle w:val="TableParagraph"/>
              <w:spacing w:before="61"/>
              <w:ind w:left="74" w:right="451"/>
              <w:rPr>
                <w:sz w:val="16"/>
              </w:rPr>
            </w:pPr>
            <w:r>
              <w:rPr>
                <w:rFonts w:ascii="Arial" w:hAnsi="Arial" w:cs="Arial" w:eastAsia="Arial"/>
                <w:sz w:val="16"/>
              </w:rPr>
              <w:t>life-threatening consequences; seizures</w:t>
            </w:r>
          </w:p>
        </w:tc>
      </w:tr>
    </w:tbl>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before="159"/>
        <w:ind w:left="2633" w:right="2520" w:firstLine="0"/>
        <w:jc w:val="center"/>
        <w:rPr>
          <w:b/>
          <w:sz w:val="24"/>
        </w:rPr>
      </w:pPr>
      <w:r>
        <w:rPr>
          <w:rFonts w:ascii="Arial" w:hAnsi="Arial" w:cs="Arial" w:eastAsia="Arial"/>
          <w:b/>
          <w:sz w:val="24"/>
        </w:rPr>
        <w:t>Sponsor’s Grading for Laboratory Values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
        <w:rPr>
          <w:b/>
          <w:sz w:val="6"/>
        </w:rPr>
      </w:pPr>
    </w:p>
    <w:tbl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tblPr>
        <w:tblW w:w="0" w:type="auto"/>
        <w:jc w:val="left"/>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54"/>
        <w:gridCol w:w="1648"/>
        <w:gridCol w:w="1648"/>
        <w:gridCol w:w="1698"/>
        <w:gridCol w:w="1547"/>
      </w:tblGrid>
      <w:tr>
        <w:trPr>
          <w:trHeight w:val="335" w:hRule="atLeast"/>
        </w:trPr>
        <w:tc>
          <w:tcPr>
            <w:tcW w:w="2654" w:type="dxa"/>
            <w:tcBorders>
              <w:left w:val="single" w:sz="6" w:space="0" w:color="000000"/>
              <w:bottom w:val="single" w:sz="6" w:space="0" w:color="000000"/>
              <w:right w:val="single" w:sz="6" w:space="0" w:color="000000"/>
            </w:tcBorders>
          </w:tcPr>
          <w:p>
            <w:pPr>
              <w:pStyle w:val="TableParagraph"/>
              <w:rPr>
                <w:sz w:val="16"/>
              </w:rPr>
            </w:pPr>
          </w:p>
        </w:tc>
        <w:tc>
          <w:tcPr>
            <w:tcW w:w="1648" w:type="dxa"/>
            <w:tcBorders>
              <w:left w:val="single" w:sz="6" w:space="0" w:color="000000"/>
              <w:bottom w:val="single" w:sz="6" w:space="0" w:color="000000"/>
              <w:right w:val="single" w:sz="6" w:space="0" w:color="000000"/>
            </w:tcBorders>
          </w:tcPr>
          <w:p>
            <w:pPr>
              <w:pStyle w:val="TableParagraph"/>
              <w:spacing w:before="73"/>
              <w:ind w:left="568"/>
              <w:rPr>
                <w:b/>
                <w:sz w:val="16"/>
              </w:rPr>
            </w:pPr>
            <w:r>
              <w:rPr>
                <w:rFonts w:ascii="Arial" w:hAnsi="Arial" w:cs="Arial" w:eastAsia="Arial"/>
                <w:b/>
                <w:sz w:val="16"/>
              </w:rPr>
              <w:t>Grade 1</w:t>
            </w:r>
          </w:p>
        </w:tc>
        <w:tc>
          <w:tcPr>
            <w:tcW w:w="1648" w:type="dxa"/>
            <w:tcBorders>
              <w:left w:val="single" w:sz="6" w:space="0" w:color="000000"/>
              <w:bottom w:val="single" w:sz="6" w:space="0" w:color="000000"/>
              <w:right w:val="single" w:sz="6" w:space="0" w:color="000000"/>
            </w:tcBorders>
          </w:tcPr>
          <w:p>
            <w:pPr>
              <w:pStyle w:val="TableParagraph"/>
              <w:spacing w:before="73"/>
              <w:ind w:left="569"/>
              <w:rPr>
                <w:b/>
                <w:sz w:val="16"/>
              </w:rPr>
            </w:pPr>
            <w:r>
              <w:rPr>
                <w:rFonts w:ascii="Arial" w:hAnsi="Arial" w:cs="Arial" w:eastAsia="Arial"/>
                <w:b/>
                <w:sz w:val="16"/>
              </w:rPr>
              <w:t>Grade 2</w:t>
            </w:r>
          </w:p>
        </w:tc>
        <w:tc>
          <w:tcPr>
            <w:tcW w:w="1698" w:type="dxa"/>
            <w:tcBorders>
              <w:left w:val="single" w:sz="6" w:space="0" w:color="000000"/>
              <w:bottom w:val="single" w:sz="6" w:space="0" w:color="000000"/>
              <w:right w:val="single" w:sz="6" w:space="0" w:color="000000"/>
            </w:tcBorders>
          </w:tcPr>
          <w:p>
            <w:pPr>
              <w:pStyle w:val="TableParagraph"/>
              <w:spacing w:before="73"/>
              <w:ind w:left="594"/>
              <w:rPr>
                <w:b/>
                <w:sz w:val="16"/>
              </w:rPr>
            </w:pPr>
            <w:r>
              <w:rPr>
                <w:rFonts w:ascii="Arial" w:hAnsi="Arial" w:cs="Arial" w:eastAsia="Arial"/>
                <w:b/>
                <w:sz w:val="16"/>
              </w:rPr>
              <w:t>Grade 3</w:t>
            </w:r>
          </w:p>
        </w:tc>
        <w:tc>
          <w:tcPr>
            <w:tcW w:w="1547" w:type="dxa"/>
            <w:tcBorders>
              <w:left w:val="single" w:sz="6" w:space="0" w:color="000000"/>
              <w:bottom w:val="single" w:sz="6" w:space="0" w:color="000000"/>
              <w:right w:val="single" w:sz="6" w:space="0" w:color="000000"/>
            </w:tcBorders>
          </w:tcPr>
          <w:p>
            <w:pPr>
              <w:pStyle w:val="TableParagraph"/>
              <w:spacing w:before="73"/>
              <w:ind w:left="521"/>
              <w:rPr>
                <w:b/>
                <w:sz w:val="16"/>
              </w:rPr>
            </w:pPr>
            <w:r>
              <w:rPr>
                <w:rFonts w:ascii="Arial" w:hAnsi="Arial" w:cs="Arial" w:eastAsia="Arial"/>
                <w:b/>
                <w:sz w:val="16"/>
              </w:rPr>
              <w:t>Grade 4</w:t>
            </w:r>
          </w:p>
        </w:tc>
      </w:tr>
      <w:tr>
        <w:trPr>
          <w:trHeight w:val="1005"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rPr>
                <w:b/>
                <w:sz w:val="18"/>
              </w:rPr>
            </w:pPr>
          </w:p>
          <w:p>
            <w:pPr>
              <w:pStyle w:val="TableParagraph"/>
              <w:spacing w:before="106"/>
              <w:ind w:left="74" w:right="1122"/>
              <w:rPr>
                <w:sz w:val="16"/>
              </w:rPr>
            </w:pPr>
            <w:r>
              <w:rPr>
                <w:rFonts w:ascii="Arial" w:hAnsi="Arial" w:cs="Arial" w:eastAsia="Arial"/>
                <w:sz w:val="16"/>
              </w:rPr>
              <w:t>Phosphate, serum-low (hypophosphatemia)</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6"/>
              <w:rPr>
                <w:b/>
                <w:sz w:val="24"/>
              </w:rPr>
            </w:pPr>
          </w:p>
          <w:p>
            <w:pPr>
              <w:pStyle w:val="TableParagraph"/>
              <w:ind w:left="72"/>
              <w:rPr>
                <w:sz w:val="16"/>
              </w:rPr>
            </w:pPr>
            <w:r>
              <w:rPr>
                <w:rFonts w:ascii="Arial" w:hAnsi="Arial" w:cs="Arial" w:eastAsia="Arial"/>
                <w:sz w:val="16"/>
              </w:rPr>
              <w:t>&lt;LLN – 2.5 mg/dL</w:t>
            </w:r>
          </w:p>
          <w:p>
            <w:pPr>
              <w:pStyle w:val="TableParagraph"/>
              <w:spacing w:before="61"/>
              <w:ind w:left="72"/>
              <w:rPr>
                <w:sz w:val="16"/>
              </w:rPr>
            </w:pPr>
            <w:r>
              <w:rPr>
                <w:rFonts w:ascii="Arial" w:hAnsi="Arial" w:cs="Arial" w:eastAsia="Arial"/>
                <w:sz w:val="16"/>
              </w:rPr>
              <w:t>&lt;LLN – 0.8 mmol/L</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6"/>
              <w:rPr>
                <w:b/>
                <w:sz w:val="24"/>
              </w:rPr>
            </w:pPr>
          </w:p>
          <w:p>
            <w:pPr>
              <w:pStyle w:val="TableParagraph"/>
              <w:ind w:left="72"/>
              <w:rPr>
                <w:sz w:val="16"/>
              </w:rPr>
            </w:pPr>
            <w:r>
              <w:rPr>
                <w:rFonts w:ascii="Arial" w:hAnsi="Arial" w:cs="Arial" w:eastAsia="Arial"/>
                <w:sz w:val="16"/>
              </w:rPr>
              <w:t>&lt;2.5 – 2.0 mg/dL</w:t>
            </w:r>
          </w:p>
          <w:p>
            <w:pPr>
              <w:pStyle w:val="TableParagraph"/>
              <w:spacing w:before="61"/>
              <w:ind w:left="72"/>
              <w:rPr>
                <w:sz w:val="16"/>
              </w:rPr>
            </w:pPr>
            <w:r>
              <w:rPr>
                <w:rFonts w:ascii="Arial" w:hAnsi="Arial" w:cs="Arial" w:eastAsia="Arial"/>
                <w:sz w:val="16"/>
              </w:rPr>
              <w:t>&lt;0.8 – 0.6 mmol/L</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6"/>
              <w:rPr>
                <w:b/>
                <w:sz w:val="24"/>
              </w:rPr>
            </w:pPr>
          </w:p>
          <w:p>
            <w:pPr>
              <w:pStyle w:val="TableParagraph"/>
              <w:ind w:left="73"/>
              <w:rPr>
                <w:sz w:val="16"/>
              </w:rPr>
            </w:pPr>
            <w:r>
              <w:rPr>
                <w:rFonts w:ascii="Arial" w:hAnsi="Arial" w:cs="Arial" w:eastAsia="Arial"/>
                <w:sz w:val="16"/>
              </w:rPr>
              <w:t>&lt;2.0 – 1.0 mg/dL</w:t>
            </w:r>
          </w:p>
          <w:p>
            <w:pPr>
              <w:pStyle w:val="TableParagraph"/>
              <w:spacing w:before="61"/>
              <w:ind w:left="73"/>
              <w:rPr>
                <w:sz w:val="16"/>
              </w:rPr>
            </w:pPr>
            <w:r>
              <w:rPr>
                <w:rFonts w:ascii="Arial" w:hAnsi="Arial" w:cs="Arial" w:eastAsia="Arial"/>
                <w:sz w:val="16"/>
              </w:rPr>
              <w:t>&lt;0.6 – 0.3 mmol/L</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68"/>
              <w:ind w:left="74"/>
              <w:rPr>
                <w:sz w:val="16"/>
              </w:rPr>
            </w:pPr>
            <w:r>
              <w:rPr>
                <w:rFonts w:ascii="Arial" w:hAnsi="Arial" w:cs="Arial" w:eastAsia="Arial"/>
                <w:sz w:val="16"/>
              </w:rPr>
              <w:t>&lt;1.0 mg/dL</w:t>
            </w:r>
          </w:p>
          <w:p>
            <w:pPr>
              <w:pStyle w:val="TableParagraph"/>
              <w:spacing w:before="61"/>
              <w:ind w:left="74"/>
              <w:rPr>
                <w:sz w:val="16"/>
              </w:rPr>
            </w:pPr>
            <w:r>
              <w:rPr>
                <w:rFonts w:ascii="Arial" w:hAnsi="Arial" w:cs="Arial" w:eastAsia="Arial"/>
                <w:sz w:val="16"/>
              </w:rPr>
              <w:t>&lt;0.3</w:t>
            </w:r>
            <w:r>
              <w:rPr>
                <w:rFonts w:ascii="Arial" w:hAnsi="Arial" w:cs="Arial" w:eastAsia="Arial"/>
                <w:spacing w:val="-5"/>
                <w:sz w:val="16"/>
              </w:rPr>
              <w:t> </w:t>
            </w:r>
            <w:r>
              <w:rPr>
                <w:rFonts w:ascii="Arial" w:hAnsi="Arial" w:cs="Arial" w:eastAsia="Arial"/>
                <w:sz w:val="16"/>
              </w:rPr>
              <w:t>mmol/L</w:t>
            </w:r>
          </w:p>
          <w:p>
            <w:pPr>
              <w:pStyle w:val="TableParagraph"/>
              <w:spacing w:before="61"/>
              <w:ind w:left="74"/>
              <w:rPr>
                <w:sz w:val="16"/>
              </w:rPr>
            </w:pPr>
            <w:r>
              <w:rPr>
                <w:rFonts w:ascii="Arial" w:hAnsi="Arial" w:cs="Arial" w:eastAsia="Arial"/>
                <w:spacing w:val="-1"/>
                <w:sz w:val="16"/>
              </w:rPr>
              <w:t>life-threatening </w:t>
            </w:r>
            <w:r>
              <w:rPr>
                <w:rFonts w:ascii="Arial" w:hAnsi="Arial" w:cs="Arial" w:eastAsia="Arial"/>
                <w:sz w:val="16"/>
              </w:rPr>
              <w:t>consequences</w:t>
            </w:r>
          </w:p>
        </w:tc>
      </w:tr>
      <w:tr>
        <w:trPr>
          <w:trHeight w:val="803"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7"/>
              <w:rPr>
                <w:b/>
                <w:sz w:val="26"/>
              </w:rPr>
            </w:pPr>
          </w:p>
          <w:p>
            <w:pPr>
              <w:pStyle w:val="TableParagraph"/>
              <w:ind w:left="74"/>
              <w:rPr>
                <w:sz w:val="16"/>
              </w:rPr>
            </w:pPr>
            <w:r>
              <w:rPr>
                <w:rFonts w:ascii="Arial" w:hAnsi="Arial" w:cs="Arial" w:eastAsia="Arial"/>
                <w:sz w:val="16"/>
              </w:rPr>
              <w:t>Potassium, serum-high (hyperkalemia)</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
              <w:rPr>
                <w:b/>
                <w:sz w:val="26"/>
              </w:rPr>
            </w:pPr>
          </w:p>
          <w:p>
            <w:pPr>
              <w:pStyle w:val="TableParagraph"/>
              <w:ind w:left="72"/>
              <w:rPr>
                <w:sz w:val="16"/>
              </w:rPr>
            </w:pPr>
            <w:r>
              <w:rPr>
                <w:rFonts w:ascii="Arial" w:hAnsi="Arial" w:cs="Arial" w:eastAsia="Arial"/>
                <w:sz w:val="16"/>
              </w:rPr>
              <w:t>&gt;ULN – 5.5 mmol/L</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7"/>
              <w:rPr>
                <w:b/>
                <w:sz w:val="26"/>
              </w:rPr>
            </w:pPr>
          </w:p>
          <w:p>
            <w:pPr>
              <w:pStyle w:val="TableParagraph"/>
              <w:ind w:left="72"/>
              <w:rPr>
                <w:sz w:val="16"/>
              </w:rPr>
            </w:pPr>
            <w:r>
              <w:rPr>
                <w:rFonts w:ascii="Arial" w:hAnsi="Arial" w:cs="Arial" w:eastAsia="Arial"/>
                <w:sz w:val="16"/>
              </w:rPr>
              <w:t>&gt;5.5 – 6.0 mmol/L</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11"/>
              <w:rPr>
                <w:b/>
                <w:sz w:val="15"/>
              </w:rPr>
            </w:pPr>
          </w:p>
          <w:p>
            <w:pPr>
              <w:pStyle w:val="TableParagraph"/>
              <w:spacing w:line="316" w:lineRule="auto"/>
              <w:ind w:left="73" w:right="21"/>
              <w:rPr>
                <w:sz w:val="16"/>
              </w:rPr>
            </w:pPr>
            <w:r>
              <w:rPr>
                <w:rFonts w:ascii="Arial" w:hAnsi="Arial" w:cs="Arial" w:eastAsia="Arial"/>
                <w:sz w:val="16"/>
              </w:rPr>
              <w:t>&gt;6.0 – 7.0 mmol/L hospitalization indicated</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90"/>
              <w:ind w:left="74"/>
              <w:rPr>
                <w:sz w:val="16"/>
              </w:rPr>
            </w:pPr>
            <w:r>
              <w:rPr>
                <w:rFonts w:ascii="Arial" w:hAnsi="Arial" w:cs="Arial" w:eastAsia="Arial"/>
                <w:sz w:val="16"/>
              </w:rPr>
              <w:t>&gt;7.0</w:t>
            </w:r>
            <w:r>
              <w:rPr>
                <w:rFonts w:ascii="Arial" w:hAnsi="Arial" w:cs="Arial" w:eastAsia="Arial"/>
                <w:spacing w:val="-5"/>
                <w:sz w:val="16"/>
              </w:rPr>
              <w:t> </w:t>
            </w:r>
            <w:r>
              <w:rPr>
                <w:rFonts w:ascii="Arial" w:hAnsi="Arial" w:cs="Arial" w:eastAsia="Arial"/>
                <w:sz w:val="16"/>
              </w:rPr>
              <w:t>mmol/L</w:t>
            </w:r>
          </w:p>
          <w:p>
            <w:pPr>
              <w:pStyle w:val="TableParagraph"/>
              <w:spacing w:before="61"/>
              <w:ind w:left="74"/>
              <w:rPr>
                <w:sz w:val="16"/>
              </w:rPr>
            </w:pPr>
            <w:r>
              <w:rPr>
                <w:rFonts w:ascii="Arial" w:hAnsi="Arial" w:cs="Arial" w:eastAsia="Arial"/>
                <w:spacing w:val="-1"/>
                <w:sz w:val="16"/>
              </w:rPr>
              <w:t>life-threatening </w:t>
            </w:r>
            <w:r>
              <w:rPr>
                <w:rFonts w:ascii="Arial" w:hAnsi="Arial" w:cs="Arial" w:eastAsia="Arial"/>
                <w:sz w:val="16"/>
              </w:rPr>
              <w:t>consequences</w:t>
            </w:r>
          </w:p>
        </w:tc>
      </w:tr>
      <w:tr>
        <w:trPr>
          <w:trHeight w:val="762"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8"/>
              <w:rPr>
                <w:b/>
                <w:sz w:val="24"/>
              </w:rPr>
            </w:pPr>
          </w:p>
          <w:p>
            <w:pPr>
              <w:pStyle w:val="TableParagraph"/>
              <w:ind w:left="74"/>
              <w:rPr>
                <w:sz w:val="16"/>
              </w:rPr>
            </w:pPr>
            <w:r>
              <w:rPr>
                <w:rFonts w:ascii="Arial" w:hAnsi="Arial" w:cs="Arial" w:eastAsia="Arial"/>
                <w:sz w:val="16"/>
              </w:rPr>
              <w:t>Potassium, serum-low (hypokalemia)</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8"/>
              <w:rPr>
                <w:b/>
                <w:sz w:val="24"/>
              </w:rPr>
            </w:pPr>
          </w:p>
          <w:p>
            <w:pPr>
              <w:pStyle w:val="TableParagraph"/>
              <w:ind w:left="72"/>
              <w:rPr>
                <w:sz w:val="16"/>
              </w:rPr>
            </w:pPr>
            <w:r>
              <w:rPr>
                <w:rFonts w:ascii="Arial" w:hAnsi="Arial" w:cs="Arial" w:eastAsia="Arial"/>
                <w:sz w:val="16"/>
              </w:rPr>
              <w:t>&lt;LLN – 3.0 mmol/L</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100"/>
              <w:ind w:left="72" w:right="141"/>
              <w:rPr>
                <w:sz w:val="16"/>
              </w:rPr>
            </w:pPr>
            <w:r>
              <w:rPr>
                <w:rFonts w:ascii="Arial" w:hAnsi="Arial" w:cs="Arial" w:eastAsia="Arial"/>
                <w:sz w:val="16"/>
              </w:rPr>
              <w:t>&lt;LLN – 3.0 mmol/L; symptomatic; intervention indicated</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1"/>
              <w:rPr>
                <w:b/>
                <w:sz w:val="14"/>
              </w:rPr>
            </w:pPr>
          </w:p>
          <w:p>
            <w:pPr>
              <w:pStyle w:val="TableParagraph"/>
              <w:spacing w:line="319" w:lineRule="auto"/>
              <w:ind w:left="73" w:right="21"/>
              <w:rPr>
                <w:sz w:val="16"/>
              </w:rPr>
            </w:pPr>
            <w:r>
              <w:rPr>
                <w:rFonts w:ascii="Arial" w:hAnsi="Arial" w:cs="Arial" w:eastAsia="Arial"/>
                <w:sz w:val="16"/>
              </w:rPr>
              <w:t>&lt;3.0 – 2.5 mmol/L hospitalization indicated</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71"/>
              <w:ind w:left="74"/>
              <w:rPr>
                <w:sz w:val="16"/>
              </w:rPr>
            </w:pPr>
            <w:r>
              <w:rPr>
                <w:rFonts w:ascii="Arial" w:hAnsi="Arial" w:cs="Arial" w:eastAsia="Arial"/>
                <w:sz w:val="16"/>
              </w:rPr>
              <w:t>&lt;2.5</w:t>
            </w:r>
            <w:r>
              <w:rPr>
                <w:rFonts w:ascii="Arial" w:hAnsi="Arial" w:cs="Arial" w:eastAsia="Arial"/>
                <w:spacing w:val="-5"/>
                <w:sz w:val="16"/>
              </w:rPr>
              <w:t> </w:t>
            </w:r>
            <w:r>
              <w:rPr>
                <w:rFonts w:ascii="Arial" w:hAnsi="Arial" w:cs="Arial" w:eastAsia="Arial"/>
                <w:sz w:val="16"/>
              </w:rPr>
              <w:t>mmol/L</w:t>
            </w:r>
          </w:p>
          <w:p>
            <w:pPr>
              <w:pStyle w:val="TableParagraph"/>
              <w:spacing w:before="61"/>
              <w:ind w:left="74"/>
              <w:rPr>
                <w:sz w:val="16"/>
              </w:rPr>
            </w:pPr>
            <w:r>
              <w:rPr>
                <w:rFonts w:ascii="Arial" w:hAnsi="Arial" w:cs="Arial" w:eastAsia="Arial"/>
                <w:spacing w:val="-1"/>
                <w:sz w:val="16"/>
              </w:rPr>
              <w:t>life-threatening </w:t>
            </w:r>
            <w:r>
              <w:rPr>
                <w:rFonts w:ascii="Arial" w:hAnsi="Arial" w:cs="Arial" w:eastAsia="Arial"/>
                <w:sz w:val="16"/>
              </w:rPr>
              <w:t>consequences</w:t>
            </w:r>
          </w:p>
        </w:tc>
      </w:tr>
      <w:tr>
        <w:trPr>
          <w:trHeight w:val="764"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8"/>
              <w:rPr>
                <w:b/>
                <w:sz w:val="24"/>
              </w:rPr>
            </w:pPr>
          </w:p>
          <w:p>
            <w:pPr>
              <w:pStyle w:val="TableParagraph"/>
              <w:ind w:left="74"/>
              <w:rPr>
                <w:sz w:val="16"/>
              </w:rPr>
            </w:pPr>
            <w:r>
              <w:rPr>
                <w:rFonts w:ascii="Arial" w:hAnsi="Arial" w:cs="Arial" w:eastAsia="Arial"/>
                <w:sz w:val="16"/>
              </w:rPr>
              <w:t>Sodium, serum-high (hypernatremia)</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8"/>
              <w:rPr>
                <w:b/>
                <w:sz w:val="24"/>
              </w:rPr>
            </w:pPr>
          </w:p>
          <w:p>
            <w:pPr>
              <w:pStyle w:val="TableParagraph"/>
              <w:ind w:left="72"/>
              <w:rPr>
                <w:sz w:val="16"/>
              </w:rPr>
            </w:pPr>
            <w:r>
              <w:rPr>
                <w:rFonts w:ascii="Arial" w:hAnsi="Arial" w:cs="Arial" w:eastAsia="Arial"/>
                <w:sz w:val="16"/>
              </w:rPr>
              <w:t>&gt;ULN – 150 mmol/L</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8"/>
              <w:rPr>
                <w:b/>
                <w:sz w:val="24"/>
              </w:rPr>
            </w:pPr>
          </w:p>
          <w:p>
            <w:pPr>
              <w:pStyle w:val="TableParagraph"/>
              <w:ind w:left="72"/>
              <w:rPr>
                <w:sz w:val="16"/>
              </w:rPr>
            </w:pPr>
            <w:r>
              <w:rPr>
                <w:rFonts w:ascii="Arial" w:hAnsi="Arial" w:cs="Arial" w:eastAsia="Arial"/>
                <w:sz w:val="16"/>
              </w:rPr>
              <w:t>&gt;150 – 155 mmol/L</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3"/>
              <w:rPr>
                <w:b/>
                <w:sz w:val="14"/>
              </w:rPr>
            </w:pPr>
          </w:p>
          <w:p>
            <w:pPr>
              <w:pStyle w:val="TableParagraph"/>
              <w:spacing w:line="316" w:lineRule="auto"/>
              <w:ind w:left="73" w:right="21"/>
              <w:rPr>
                <w:sz w:val="16"/>
              </w:rPr>
            </w:pPr>
            <w:r>
              <w:rPr>
                <w:rFonts w:ascii="Arial" w:hAnsi="Arial" w:cs="Arial" w:eastAsia="Arial"/>
                <w:sz w:val="16"/>
              </w:rPr>
              <w:t>&gt;155 – 160 mmol/L hospitalization indicated</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71"/>
              <w:ind w:left="74"/>
              <w:rPr>
                <w:sz w:val="16"/>
              </w:rPr>
            </w:pPr>
            <w:r>
              <w:rPr>
                <w:rFonts w:ascii="Arial" w:hAnsi="Arial" w:cs="Arial" w:eastAsia="Arial"/>
                <w:sz w:val="16"/>
              </w:rPr>
              <w:t>&gt;160</w:t>
            </w:r>
            <w:r>
              <w:rPr>
                <w:rFonts w:ascii="Arial" w:hAnsi="Arial" w:cs="Arial" w:eastAsia="Arial"/>
                <w:spacing w:val="-5"/>
                <w:sz w:val="16"/>
              </w:rPr>
              <w:t> </w:t>
            </w:r>
            <w:r>
              <w:rPr>
                <w:rFonts w:ascii="Arial" w:hAnsi="Arial" w:cs="Arial" w:eastAsia="Arial"/>
                <w:sz w:val="16"/>
              </w:rPr>
              <w:t>mmol/L</w:t>
            </w:r>
          </w:p>
          <w:p>
            <w:pPr>
              <w:pStyle w:val="TableParagraph"/>
              <w:spacing w:before="61"/>
              <w:ind w:left="74"/>
              <w:rPr>
                <w:sz w:val="16"/>
              </w:rPr>
            </w:pPr>
            <w:r>
              <w:rPr>
                <w:rFonts w:ascii="Arial" w:hAnsi="Arial" w:cs="Arial" w:eastAsia="Arial"/>
                <w:spacing w:val="-1"/>
                <w:sz w:val="16"/>
              </w:rPr>
              <w:t>life-threatening </w:t>
            </w:r>
            <w:r>
              <w:rPr>
                <w:rFonts w:ascii="Arial" w:hAnsi="Arial" w:cs="Arial" w:eastAsia="Arial"/>
                <w:sz w:val="16"/>
              </w:rPr>
              <w:t>consequences</w:t>
            </w:r>
          </w:p>
        </w:tc>
      </w:tr>
      <w:tr>
        <w:trPr>
          <w:trHeight w:val="762"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spacing w:before="8"/>
              <w:rPr>
                <w:b/>
                <w:sz w:val="24"/>
              </w:rPr>
            </w:pPr>
          </w:p>
          <w:p>
            <w:pPr>
              <w:pStyle w:val="TableParagraph"/>
              <w:ind w:left="74"/>
              <w:rPr>
                <w:sz w:val="16"/>
              </w:rPr>
            </w:pPr>
            <w:r>
              <w:rPr>
                <w:rFonts w:ascii="Arial" w:hAnsi="Arial" w:cs="Arial" w:eastAsia="Arial"/>
                <w:sz w:val="16"/>
              </w:rPr>
              <w:t>Sodium, serum-low (hyponatremia)</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8"/>
              <w:rPr>
                <w:b/>
                <w:sz w:val="24"/>
              </w:rPr>
            </w:pPr>
          </w:p>
          <w:p>
            <w:pPr>
              <w:pStyle w:val="TableParagraph"/>
              <w:ind w:left="72"/>
              <w:rPr>
                <w:sz w:val="16"/>
              </w:rPr>
            </w:pPr>
            <w:r>
              <w:rPr>
                <w:rFonts w:ascii="Arial" w:hAnsi="Arial" w:cs="Arial" w:eastAsia="Arial"/>
                <w:sz w:val="16"/>
              </w:rPr>
              <w:t>&lt;LLN – 130 mmol/L</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8"/>
              <w:rPr>
                <w:b/>
                <w:sz w:val="24"/>
              </w:rPr>
            </w:pPr>
          </w:p>
          <w:p>
            <w:pPr>
              <w:pStyle w:val="TableParagraph"/>
              <w:ind w:left="72"/>
              <w:rPr>
                <w:sz w:val="16"/>
              </w:rPr>
            </w:pPr>
            <w:r>
              <w:rPr>
                <w:rFonts w:ascii="Arial" w:hAnsi="Arial" w:cs="Arial" w:eastAsia="Arial"/>
                <w:sz w:val="16"/>
              </w:rPr>
              <w:t>N/A</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8"/>
              <w:rPr>
                <w:b/>
                <w:sz w:val="24"/>
              </w:rPr>
            </w:pPr>
          </w:p>
          <w:p>
            <w:pPr>
              <w:pStyle w:val="TableParagraph"/>
              <w:ind w:left="73"/>
              <w:rPr>
                <w:sz w:val="16"/>
              </w:rPr>
            </w:pPr>
            <w:r>
              <w:rPr>
                <w:rFonts w:ascii="Arial" w:hAnsi="Arial" w:cs="Arial" w:eastAsia="Arial"/>
                <w:sz w:val="16"/>
              </w:rPr>
              <w:t>&lt;130 – 120 mmol/L</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71"/>
              <w:ind w:left="74"/>
              <w:rPr>
                <w:sz w:val="16"/>
              </w:rPr>
            </w:pPr>
            <w:r>
              <w:rPr>
                <w:rFonts w:ascii="Arial" w:hAnsi="Arial" w:cs="Arial" w:eastAsia="Arial"/>
                <w:sz w:val="16"/>
              </w:rPr>
              <w:t>&lt;120</w:t>
            </w:r>
            <w:r>
              <w:rPr>
                <w:rFonts w:ascii="Arial" w:hAnsi="Arial" w:cs="Arial" w:eastAsia="Arial"/>
                <w:spacing w:val="-5"/>
                <w:sz w:val="16"/>
              </w:rPr>
              <w:t> </w:t>
            </w:r>
            <w:r>
              <w:rPr>
                <w:rFonts w:ascii="Arial" w:hAnsi="Arial" w:cs="Arial" w:eastAsia="Arial"/>
                <w:sz w:val="16"/>
              </w:rPr>
              <w:t>mmol/L</w:t>
            </w:r>
          </w:p>
          <w:p>
            <w:pPr>
              <w:pStyle w:val="TableParagraph"/>
              <w:spacing w:before="58"/>
              <w:ind w:left="74"/>
              <w:rPr>
                <w:sz w:val="16"/>
              </w:rPr>
            </w:pPr>
            <w:r>
              <w:rPr>
                <w:rFonts w:ascii="Arial" w:hAnsi="Arial" w:cs="Arial" w:eastAsia="Arial"/>
                <w:spacing w:val="-1"/>
                <w:sz w:val="16"/>
              </w:rPr>
              <w:t>life-threatening </w:t>
            </w:r>
            <w:r>
              <w:rPr>
                <w:rFonts w:ascii="Arial" w:hAnsi="Arial" w:cs="Arial" w:eastAsia="Arial"/>
                <w:sz w:val="16"/>
              </w:rPr>
              <w:t>consequences</w:t>
            </w:r>
          </w:p>
        </w:tc>
      </w:tr>
      <w:tr>
        <w:trPr>
          <w:trHeight w:val="1005"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rPr>
                <w:b/>
                <w:sz w:val="18"/>
              </w:rPr>
            </w:pPr>
          </w:p>
          <w:p>
            <w:pPr>
              <w:pStyle w:val="TableParagraph"/>
              <w:spacing w:before="106"/>
              <w:ind w:left="74" w:right="945"/>
              <w:rPr>
                <w:sz w:val="16"/>
              </w:rPr>
            </w:pPr>
            <w:r>
              <w:rPr>
                <w:rFonts w:ascii="Arial" w:hAnsi="Arial" w:cs="Arial" w:eastAsia="Arial"/>
                <w:sz w:val="16"/>
              </w:rPr>
              <w:t>Triglyceride, serum-high (hypertriglyceridemia)</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8"/>
              <w:rPr>
                <w:b/>
                <w:sz w:val="24"/>
              </w:rPr>
            </w:pPr>
          </w:p>
          <w:p>
            <w:pPr>
              <w:pStyle w:val="TableParagraph"/>
              <w:ind w:left="72"/>
              <w:rPr>
                <w:sz w:val="16"/>
              </w:rPr>
            </w:pPr>
            <w:r>
              <w:rPr>
                <w:rFonts w:ascii="Arial" w:hAnsi="Arial" w:cs="Arial" w:eastAsia="Arial"/>
                <w:sz w:val="16"/>
              </w:rPr>
              <w:t>150 – 300 mg/dL</w:t>
            </w:r>
          </w:p>
          <w:p>
            <w:pPr>
              <w:pStyle w:val="TableParagraph"/>
              <w:spacing w:before="59"/>
              <w:ind w:left="72"/>
              <w:rPr>
                <w:sz w:val="16"/>
              </w:rPr>
            </w:pPr>
            <w:r>
              <w:rPr>
                <w:rFonts w:ascii="Arial" w:hAnsi="Arial" w:cs="Arial" w:eastAsia="Arial"/>
                <w:sz w:val="16"/>
              </w:rPr>
              <w:t>1.71 – 3.42 mmol/L</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8"/>
              <w:rPr>
                <w:b/>
                <w:sz w:val="24"/>
              </w:rPr>
            </w:pPr>
          </w:p>
          <w:p>
            <w:pPr>
              <w:pStyle w:val="TableParagraph"/>
              <w:ind w:left="72"/>
              <w:rPr>
                <w:sz w:val="16"/>
              </w:rPr>
            </w:pPr>
            <w:r>
              <w:rPr>
                <w:rFonts w:ascii="Arial" w:hAnsi="Arial" w:cs="Arial" w:eastAsia="Arial"/>
                <w:sz w:val="16"/>
              </w:rPr>
              <w:t>&gt;300 – 500 mg/dL</w:t>
            </w:r>
          </w:p>
          <w:p>
            <w:pPr>
              <w:pStyle w:val="TableParagraph"/>
              <w:spacing w:before="59"/>
              <w:ind w:left="72"/>
              <w:rPr>
                <w:sz w:val="16"/>
              </w:rPr>
            </w:pPr>
            <w:r>
              <w:rPr>
                <w:rFonts w:ascii="Arial" w:hAnsi="Arial" w:cs="Arial" w:eastAsia="Arial"/>
                <w:sz w:val="16"/>
              </w:rPr>
              <w:t>&gt;3.42 – 5.7 mmol/L</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before="8"/>
              <w:rPr>
                <w:b/>
                <w:sz w:val="24"/>
              </w:rPr>
            </w:pPr>
          </w:p>
          <w:p>
            <w:pPr>
              <w:pStyle w:val="TableParagraph"/>
              <w:ind w:left="73"/>
              <w:rPr>
                <w:sz w:val="16"/>
              </w:rPr>
            </w:pPr>
            <w:r>
              <w:rPr>
                <w:rFonts w:ascii="Arial" w:hAnsi="Arial" w:cs="Arial" w:eastAsia="Arial"/>
                <w:sz w:val="16"/>
              </w:rPr>
              <w:t>&gt;500 – 1000</w:t>
            </w:r>
            <w:r>
              <w:rPr>
                <w:rFonts w:ascii="Arial" w:hAnsi="Arial" w:cs="Arial" w:eastAsia="Arial"/>
                <w:spacing w:val="-7"/>
                <w:sz w:val="16"/>
              </w:rPr>
              <w:t> </w:t>
            </w:r>
            <w:r>
              <w:rPr>
                <w:rFonts w:ascii="Arial" w:hAnsi="Arial" w:cs="Arial" w:eastAsia="Arial"/>
                <w:sz w:val="16"/>
              </w:rPr>
              <w:t>mg/dL</w:t>
            </w:r>
          </w:p>
          <w:p>
            <w:pPr>
              <w:pStyle w:val="TableParagraph"/>
              <w:spacing w:before="59"/>
              <w:ind w:left="73"/>
              <w:rPr>
                <w:sz w:val="16"/>
              </w:rPr>
            </w:pPr>
            <w:r>
              <w:rPr>
                <w:rFonts w:ascii="Arial" w:hAnsi="Arial" w:cs="Arial" w:eastAsia="Arial"/>
                <w:sz w:val="16"/>
              </w:rPr>
              <w:t>&gt;5.7 – 11.4</w:t>
            </w:r>
            <w:r>
              <w:rPr>
                <w:rFonts w:ascii="Arial" w:hAnsi="Arial" w:cs="Arial" w:eastAsia="Arial"/>
                <w:spacing w:val="-8"/>
                <w:sz w:val="16"/>
              </w:rPr>
              <w:t> </w:t>
            </w:r>
            <w:r>
              <w:rPr>
                <w:rFonts w:ascii="Arial" w:hAnsi="Arial" w:cs="Arial" w:eastAsia="Arial"/>
                <w:sz w:val="16"/>
              </w:rPr>
              <w:t>mmol/L</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68"/>
              <w:ind w:left="74"/>
              <w:rPr>
                <w:sz w:val="16"/>
              </w:rPr>
            </w:pPr>
            <w:r>
              <w:rPr>
                <w:rFonts w:ascii="Arial" w:hAnsi="Arial" w:cs="Arial" w:eastAsia="Arial"/>
                <w:sz w:val="16"/>
              </w:rPr>
              <w:t>&gt;1000 mg/dL</w:t>
            </w:r>
          </w:p>
          <w:p>
            <w:pPr>
              <w:pStyle w:val="TableParagraph"/>
              <w:spacing w:before="61"/>
              <w:ind w:left="74"/>
              <w:rPr>
                <w:sz w:val="16"/>
              </w:rPr>
            </w:pPr>
            <w:r>
              <w:rPr>
                <w:rFonts w:ascii="Arial" w:hAnsi="Arial" w:cs="Arial" w:eastAsia="Arial"/>
                <w:sz w:val="16"/>
              </w:rPr>
              <w:t>&gt;11.4 mmol/L</w:t>
            </w:r>
          </w:p>
          <w:p>
            <w:pPr>
              <w:pStyle w:val="TableParagraph"/>
              <w:spacing w:before="61"/>
              <w:ind w:left="74" w:right="451"/>
              <w:rPr>
                <w:sz w:val="16"/>
              </w:rPr>
            </w:pPr>
            <w:r>
              <w:rPr>
                <w:rFonts w:ascii="Arial" w:hAnsi="Arial" w:cs="Arial" w:eastAsia="Arial"/>
                <w:sz w:val="16"/>
              </w:rPr>
              <w:t>life-threatening consequences</w:t>
            </w:r>
          </w:p>
        </w:tc>
      </w:tr>
      <w:tr>
        <w:trPr>
          <w:trHeight w:val="1007" w:hRule="atLeast"/>
        </w:trPr>
        <w:tc>
          <w:tcPr>
            <w:tcW w:w="2654" w:type="dxa"/>
            <w:tcBorders>
              <w:top w:val="single" w:sz="6" w:space="0" w:color="000000"/>
              <w:left w:val="single" w:sz="6" w:space="0" w:color="000000"/>
              <w:bottom w:val="single" w:sz="6" w:space="0" w:color="000000"/>
              <w:right w:val="single" w:sz="6" w:space="0" w:color="000000"/>
            </w:tcBorders>
          </w:tcPr>
          <w:p>
            <w:pPr>
              <w:pStyle w:val="TableParagraph"/>
              <w:rPr>
                <w:b/>
                <w:sz w:val="18"/>
              </w:rPr>
            </w:pPr>
          </w:p>
          <w:p>
            <w:pPr>
              <w:pStyle w:val="TableParagraph"/>
              <w:spacing w:before="4"/>
              <w:rPr>
                <w:b/>
                <w:sz w:val="17"/>
              </w:rPr>
            </w:pPr>
          </w:p>
          <w:p>
            <w:pPr>
              <w:pStyle w:val="TableParagraph"/>
              <w:ind w:left="74"/>
              <w:rPr>
                <w:sz w:val="16"/>
              </w:rPr>
            </w:pPr>
            <w:r>
              <w:rPr>
                <w:rFonts w:ascii="Arial" w:hAnsi="Arial" w:cs="Arial" w:eastAsia="Arial"/>
                <w:sz w:val="16"/>
              </w:rPr>
              <w:t>Uric acid, serum-high (hyperuricemia)</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spacing w:before="100"/>
              <w:ind w:left="72"/>
              <w:rPr>
                <w:sz w:val="16"/>
              </w:rPr>
            </w:pPr>
            <w:r>
              <w:rPr>
                <w:rFonts w:ascii="Arial" w:hAnsi="Arial" w:cs="Arial" w:eastAsia="Arial"/>
                <w:sz w:val="16"/>
              </w:rPr>
              <w:t>&gt;ULN – 10 mg/dL</w:t>
            </w:r>
          </w:p>
          <w:p>
            <w:pPr>
              <w:pStyle w:val="TableParagraph"/>
              <w:spacing w:before="60"/>
              <w:ind w:left="72" w:right="88"/>
              <w:rPr>
                <w:sz w:val="16"/>
              </w:rPr>
            </w:pPr>
            <w:r>
              <w:rPr>
                <w:rFonts w:ascii="Arial" w:hAnsi="Arial" w:cs="Arial" w:eastAsia="Arial"/>
                <w:sz w:val="16"/>
              </w:rPr>
              <w:t>≤0.59 mmol/L without physiologic consequences</w:t>
            </w:r>
          </w:p>
        </w:tc>
        <w:tc>
          <w:tcPr>
            <w:tcW w:w="1648" w:type="dxa"/>
            <w:tcBorders>
              <w:top w:val="single" w:sz="6" w:space="0" w:color="000000"/>
              <w:left w:val="single" w:sz="6" w:space="0" w:color="000000"/>
              <w:bottom w:val="single" w:sz="6" w:space="0" w:color="000000"/>
              <w:right w:val="single" w:sz="6" w:space="0" w:color="000000"/>
            </w:tcBorders>
          </w:tcPr>
          <w:p>
            <w:pPr>
              <w:pStyle w:val="TableParagraph"/>
              <w:rPr>
                <w:b/>
                <w:sz w:val="18"/>
              </w:rPr>
            </w:pPr>
          </w:p>
          <w:p>
            <w:pPr>
              <w:pStyle w:val="TableParagraph"/>
              <w:spacing w:before="4"/>
              <w:rPr>
                <w:b/>
                <w:sz w:val="17"/>
              </w:rPr>
            </w:pPr>
          </w:p>
          <w:p>
            <w:pPr>
              <w:pStyle w:val="TableParagraph"/>
              <w:ind w:left="72"/>
              <w:rPr>
                <w:sz w:val="16"/>
              </w:rPr>
            </w:pPr>
            <w:r>
              <w:rPr>
                <w:rFonts w:ascii="Arial" w:hAnsi="Arial" w:cs="Arial" w:eastAsia="Arial"/>
                <w:sz w:val="16"/>
              </w:rPr>
              <w:t>N/A</w:t>
            </w:r>
          </w:p>
        </w:tc>
        <w:tc>
          <w:tcPr>
            <w:tcW w:w="1698" w:type="dxa"/>
            <w:tcBorders>
              <w:top w:val="single" w:sz="6" w:space="0" w:color="000000"/>
              <w:left w:val="single" w:sz="6" w:space="0" w:color="000000"/>
              <w:bottom w:val="single" w:sz="6" w:space="0" w:color="000000"/>
              <w:right w:val="single" w:sz="6" w:space="0" w:color="000000"/>
            </w:tcBorders>
          </w:tcPr>
          <w:p>
            <w:pPr>
              <w:pStyle w:val="TableParagraph"/>
              <w:spacing w:line="183" w:lineRule="exact" w:before="131"/>
              <w:ind w:left="73"/>
              <w:rPr>
                <w:sz w:val="16"/>
              </w:rPr>
            </w:pPr>
            <w:r>
              <w:rPr>
                <w:rFonts w:ascii="Arial" w:hAnsi="Arial" w:cs="Arial" w:eastAsia="Arial"/>
                <w:sz w:val="16"/>
              </w:rPr>
              <w:t>&gt;ULN – 10 mg/dL</w:t>
            </w:r>
          </w:p>
          <w:p>
            <w:pPr>
              <w:pStyle w:val="TableParagraph"/>
              <w:ind w:left="73" w:right="342"/>
              <w:rPr>
                <w:sz w:val="16"/>
              </w:rPr>
            </w:pPr>
            <w:r>
              <w:rPr>
                <w:rFonts w:ascii="Arial" w:hAnsi="Arial" w:cs="Arial" w:eastAsia="Arial"/>
                <w:sz w:val="16"/>
              </w:rPr>
              <w:t>≤0.59 mmol/L with physiologic consequences</w:t>
            </w:r>
          </w:p>
        </w:tc>
        <w:tc>
          <w:tcPr>
            <w:tcW w:w="1547" w:type="dxa"/>
            <w:tcBorders>
              <w:top w:val="single" w:sz="6" w:space="0" w:color="000000"/>
              <w:left w:val="single" w:sz="6" w:space="0" w:color="000000"/>
              <w:bottom w:val="single" w:sz="6" w:space="0" w:color="000000"/>
              <w:right w:val="single" w:sz="6" w:space="0" w:color="000000"/>
            </w:tcBorders>
          </w:tcPr>
          <w:p>
            <w:pPr>
              <w:pStyle w:val="TableParagraph"/>
              <w:spacing w:before="71"/>
              <w:ind w:left="74"/>
              <w:rPr>
                <w:sz w:val="16"/>
              </w:rPr>
            </w:pPr>
            <w:r>
              <w:rPr>
                <w:rFonts w:ascii="Arial" w:hAnsi="Arial" w:cs="Arial" w:eastAsia="Arial"/>
                <w:sz w:val="16"/>
              </w:rPr>
              <w:t>&gt;10 mg/dL</w:t>
            </w:r>
          </w:p>
          <w:p>
            <w:pPr>
              <w:pStyle w:val="TableParagraph"/>
              <w:spacing w:before="58"/>
              <w:ind w:left="74"/>
              <w:rPr>
                <w:sz w:val="16"/>
              </w:rPr>
            </w:pPr>
            <w:r>
              <w:rPr>
                <w:rFonts w:ascii="Arial" w:hAnsi="Arial" w:cs="Arial" w:eastAsia="Arial"/>
                <w:sz w:val="16"/>
              </w:rPr>
              <w:t>&gt;0.59 mmol/L</w:t>
            </w:r>
          </w:p>
          <w:p>
            <w:pPr>
              <w:pStyle w:val="TableParagraph"/>
              <w:spacing w:before="61"/>
              <w:ind w:left="74" w:right="451"/>
              <w:rPr>
                <w:sz w:val="16"/>
              </w:rPr>
            </w:pPr>
            <w:r>
              <w:rPr>
                <w:rFonts w:ascii="Arial" w:hAnsi="Arial" w:cs="Arial" w:eastAsia="Arial"/>
                <w:sz w:val="16"/>
              </w:rPr>
              <w:t>life-threatening consequences</w:t>
            </w:r>
          </w:p>
        </w:tc>
      </w:tr>
    </w:tbl>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before="9"/>
        <w:ind w:left="259" w:right="216" w:firstLine="0"/>
        <w:jc w:val="left"/>
        <w:rPr>
          <w:sz w:val="16"/>
        </w:rPr>
      </w:pPr>
      <w:r>
        <w:rPr>
          <w:rFonts w:ascii="Arial" w:hAnsi="Arial" w:cs="Arial" w:eastAsia="Arial"/>
          <w:sz w:val="16"/>
        </w:rPr>
        <w:t>ALT = alanine aminotransferase (serum glutamic pyruvic transaminase), AST = aspartate aminotransferase (serum glutamic oxaloacetic transaminase), GGT = γ-glutamyl transpeptidase, N/A = not applicable, LLN = lower limit of normal, ULN = upper limit of normal, WBC = white blood cell.</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before="0"/>
        <w:ind w:left="259" w:right="0" w:firstLine="0"/>
        <w:jc w:val="left"/>
        <w:rPr>
          <w:sz w:val="16"/>
        </w:rPr>
      </w:pPr>
      <w:r>
        <w:rPr>
          <w:rFonts w:ascii="Arial" w:hAnsi="Arial" w:cs="Arial" w:eastAsia="Arial"/>
          <w:sz w:val="16"/>
        </w:rPr>
        <w:t>Based on Common Terminology Criteria for Adverse events (CTCAE) Version 4.0. Published: May 28, 2009 (v4.03: June 14, 2010).</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tabs>
          <w:tab w:pos="2399" w:val="left" w:leader="none"/>
        </w:tabs>
        <w:spacing w:before="84"/>
        <w:ind w:left="240" w:firstLine="0"/>
      </w:pPr>
      <w:bookmarkStart w:name="_bookmark136" w:id="368"/>
      <w:bookmarkEnd w:id="368"/>
      <w:r>
        <w:rPr>
          <w:rFonts w:ascii="Arial" w:hAnsi="Arial" w:cs="Arial" w:eastAsia="Arial"/>
          <w:b w:val="0"/>
        </w:rPr>
      </w:r>
      <w:r>
        <w:rPr>
          <w:rFonts w:ascii="Arial" w:hAnsi="Arial" w:cs="Arial" w:eastAsia="Arial"/>
        </w:rPr>
        <w:t>Appendix</w:t>
      </w:r>
      <w:r>
        <w:rPr>
          <w:rFonts w:ascii="Arial" w:hAnsi="Arial" w:cs="Arial" w:eastAsia="Arial"/>
          <w:spacing w:val="-3"/>
        </w:rPr>
        <w:t xml:space="preserve">  </w:t>
      </w:r>
      <w:r>
        <w:rPr>
          <w:rFonts w:ascii="Arial" w:hAnsi="Arial" w:cs="Arial" w:eastAsia="Arial"/>
        </w:rPr>
        <w:t xml:space="preserve">  2</w:t>
        <w:tab/>
        <w:t>Prohibited Concomitant</w:t>
      </w:r>
      <w:r>
        <w:rPr>
          <w:rFonts w:ascii="Arial" w:hAnsi="Arial" w:cs="Arial" w:eastAsia="Arial"/>
          <w:spacing w:val="-1"/>
        </w:rPr>
        <w:t xml:space="preserve">  </w:t>
      </w:r>
      <w:r>
        <w:rPr>
          <w:rFonts w:ascii="Arial" w:hAnsi="Arial" w:cs="Arial" w:eastAsia="Arial"/>
        </w:rPr>
        <w:t xml:space="preserve">  Medications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b/>
          <w:sz w:val="21"/>
        </w:rPr>
      </w:pPr>
    </w:p>
    <w:tbl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245"/>
      </w:tblGrid>
      <w:tr>
        <w:trPr>
          <w:trHeight w:val="350" w:hRule="atLeast"/>
        </w:trPr>
        <w:tc>
          <w:tcPr>
            <w:tcW w:w="9245" w:type="dxa"/>
          </w:tcPr>
          <w:p>
            <w:pPr>
              <w:pStyle w:val="TableParagraph"/>
              <w:spacing w:before="58"/>
              <w:ind w:left="3056" w:right="3049"/>
              <w:jc w:val="center"/>
              <w:rPr>
                <w:b/>
                <w:sz w:val="20"/>
              </w:rPr>
            </w:pPr>
            <w:r>
              <w:rPr>
                <w:rFonts w:ascii="Arial" w:hAnsi="Arial" w:cs="Arial" w:eastAsia="Arial"/>
                <w:b/>
                <w:sz w:val="20"/>
              </w:rPr>
              <w:t>Prohibited Concomitant Medication</w:t>
            </w:r>
          </w:p>
        </w:tc>
      </w:tr>
      <w:tr>
        <w:trPr>
          <w:trHeight w:val="350" w:hRule="atLeast"/>
        </w:trPr>
        <w:tc>
          <w:tcPr>
            <w:tcW w:w="9245" w:type="dxa"/>
          </w:tcPr>
          <w:p>
            <w:pPr>
              <w:pStyle w:val="TableParagraph"/>
              <w:spacing w:before="53"/>
              <w:ind w:left="3055" w:right="3049"/>
              <w:jc w:val="center"/>
              <w:rPr>
                <w:sz w:val="20"/>
              </w:rPr>
            </w:pPr>
            <w:r>
              <w:rPr>
                <w:rFonts w:ascii="Arial" w:hAnsi="Arial" w:cs="Arial" w:eastAsia="Arial"/>
                <w:sz w:val="20"/>
              </w:rPr>
              <w:t>Carbamazepine</w:t>
            </w:r>
          </w:p>
        </w:tc>
      </w:tr>
      <w:tr>
        <w:trPr>
          <w:trHeight w:val="350" w:hRule="atLeast"/>
        </w:trPr>
        <w:tc>
          <w:tcPr>
            <w:tcW w:w="9245" w:type="dxa"/>
          </w:tcPr>
          <w:p>
            <w:pPr>
              <w:pStyle w:val="TableParagraph"/>
              <w:spacing w:before="53"/>
              <w:ind w:left="3056" w:right="3048"/>
              <w:jc w:val="center"/>
              <w:rPr>
                <w:sz w:val="20"/>
              </w:rPr>
            </w:pPr>
            <w:r>
              <w:rPr>
                <w:rFonts w:ascii="Arial" w:hAnsi="Arial" w:cs="Arial" w:eastAsia="Arial"/>
                <w:sz w:val="20"/>
              </w:rPr>
              <w:t>Cannabidiol Oil (CBD)</w:t>
            </w:r>
          </w:p>
        </w:tc>
      </w:tr>
      <w:tr>
        <w:trPr>
          <w:trHeight w:val="350" w:hRule="atLeast"/>
        </w:trPr>
        <w:tc>
          <w:tcPr>
            <w:tcW w:w="9245" w:type="dxa"/>
          </w:tcPr>
          <w:p>
            <w:pPr>
              <w:pStyle w:val="TableParagraph"/>
              <w:spacing w:before="53"/>
              <w:ind w:left="3056" w:right="3045"/>
              <w:jc w:val="center"/>
              <w:rPr>
                <w:sz w:val="20"/>
              </w:rPr>
            </w:pPr>
            <w:r>
              <w:rPr>
                <w:rFonts w:ascii="Arial" w:hAnsi="Arial" w:cs="Arial" w:eastAsia="Arial"/>
                <w:sz w:val="20"/>
              </w:rPr>
              <w:t>Clobazam</w:t>
            </w:r>
          </w:p>
        </w:tc>
      </w:tr>
      <w:tr>
        <w:trPr>
          <w:trHeight w:val="350" w:hRule="atLeast"/>
        </w:trPr>
        <w:tc>
          <w:tcPr>
            <w:tcW w:w="9245" w:type="dxa"/>
          </w:tcPr>
          <w:p>
            <w:pPr>
              <w:pStyle w:val="TableParagraph"/>
              <w:spacing w:before="53"/>
              <w:ind w:left="3056" w:right="3049"/>
              <w:jc w:val="center"/>
              <w:rPr>
                <w:sz w:val="20"/>
              </w:rPr>
            </w:pPr>
            <w:r>
              <w:rPr>
                <w:rFonts w:ascii="Arial" w:hAnsi="Arial" w:cs="Arial" w:eastAsia="Arial"/>
                <w:sz w:val="20"/>
              </w:rPr>
              <w:t>Eslicarbazepine</w:t>
            </w:r>
          </w:p>
        </w:tc>
      </w:tr>
      <w:tr>
        <w:trPr>
          <w:trHeight w:val="350" w:hRule="atLeast"/>
        </w:trPr>
        <w:tc>
          <w:tcPr>
            <w:tcW w:w="9245" w:type="dxa"/>
          </w:tcPr>
          <w:p>
            <w:pPr>
              <w:pStyle w:val="TableParagraph"/>
              <w:spacing w:before="53"/>
              <w:ind w:left="3052" w:right="3049"/>
              <w:jc w:val="center"/>
              <w:rPr>
                <w:sz w:val="20"/>
              </w:rPr>
            </w:pPr>
            <w:r>
              <w:rPr>
                <w:rFonts w:ascii="Arial" w:hAnsi="Arial" w:cs="Arial" w:eastAsia="Arial"/>
                <w:sz w:val="20"/>
              </w:rPr>
              <w:t>Felbamate</w:t>
            </w:r>
          </w:p>
        </w:tc>
      </w:tr>
      <w:tr>
        <w:trPr>
          <w:trHeight w:val="350" w:hRule="atLeast"/>
        </w:trPr>
        <w:tc>
          <w:tcPr>
            <w:tcW w:w="9245" w:type="dxa"/>
          </w:tcPr>
          <w:p>
            <w:pPr>
              <w:pStyle w:val="TableParagraph"/>
              <w:spacing w:before="53"/>
              <w:ind w:left="3056" w:right="3048"/>
              <w:jc w:val="center"/>
              <w:rPr>
                <w:sz w:val="20"/>
              </w:rPr>
            </w:pPr>
            <w:r>
              <w:rPr>
                <w:rFonts w:ascii="Arial" w:hAnsi="Arial" w:cs="Arial" w:eastAsia="Arial"/>
                <w:sz w:val="20"/>
              </w:rPr>
              <w:t>Gabapentin</w:t>
            </w:r>
          </w:p>
        </w:tc>
      </w:tr>
      <w:tr>
        <w:trPr>
          <w:trHeight w:val="350" w:hRule="atLeast"/>
        </w:trPr>
        <w:tc>
          <w:tcPr>
            <w:tcW w:w="9245" w:type="dxa"/>
          </w:tcPr>
          <w:p>
            <w:pPr>
              <w:pStyle w:val="TableParagraph"/>
              <w:spacing w:before="53"/>
              <w:ind w:left="3055" w:right="3049"/>
              <w:jc w:val="center"/>
              <w:rPr>
                <w:sz w:val="20"/>
              </w:rPr>
            </w:pPr>
            <w:r>
              <w:rPr>
                <w:rFonts w:ascii="Arial" w:hAnsi="Arial" w:cs="Arial" w:eastAsia="Arial"/>
                <w:sz w:val="20"/>
              </w:rPr>
              <w:t>Oxcarbazepine</w:t>
            </w:r>
          </w:p>
        </w:tc>
      </w:tr>
      <w:tr>
        <w:trPr>
          <w:trHeight w:val="347" w:hRule="atLeast"/>
        </w:trPr>
        <w:tc>
          <w:tcPr>
            <w:tcW w:w="9245" w:type="dxa"/>
          </w:tcPr>
          <w:p>
            <w:pPr>
              <w:pStyle w:val="TableParagraph"/>
              <w:spacing w:before="53"/>
              <w:ind w:left="3056" w:right="3049"/>
              <w:jc w:val="center"/>
              <w:rPr>
                <w:sz w:val="20"/>
              </w:rPr>
            </w:pPr>
            <w:r>
              <w:rPr>
                <w:rFonts w:ascii="Arial" w:hAnsi="Arial" w:cs="Arial" w:eastAsia="Arial"/>
                <w:sz w:val="20"/>
              </w:rPr>
              <w:t>Phenobarbital</w:t>
            </w:r>
          </w:p>
        </w:tc>
      </w:tr>
      <w:tr>
        <w:trPr>
          <w:trHeight w:val="350" w:hRule="atLeast"/>
        </w:trPr>
        <w:tc>
          <w:tcPr>
            <w:tcW w:w="9245" w:type="dxa"/>
          </w:tcPr>
          <w:p>
            <w:pPr>
              <w:pStyle w:val="TableParagraph"/>
              <w:spacing w:before="55"/>
              <w:ind w:left="3056" w:right="3048"/>
              <w:jc w:val="center"/>
              <w:rPr>
                <w:sz w:val="20"/>
              </w:rPr>
            </w:pPr>
            <w:r>
              <w:rPr>
                <w:rFonts w:ascii="Arial" w:hAnsi="Arial" w:cs="Arial" w:eastAsia="Arial"/>
                <w:sz w:val="20"/>
              </w:rPr>
              <w:t>Phenytoin</w:t>
            </w:r>
          </w:p>
        </w:tc>
      </w:tr>
      <w:tr>
        <w:trPr>
          <w:trHeight w:val="350" w:hRule="atLeast"/>
        </w:trPr>
        <w:tc>
          <w:tcPr>
            <w:tcW w:w="9245" w:type="dxa"/>
          </w:tcPr>
          <w:p>
            <w:pPr>
              <w:pStyle w:val="TableParagraph"/>
              <w:spacing w:before="55"/>
              <w:ind w:left="3052" w:right="3049"/>
              <w:jc w:val="center"/>
              <w:rPr>
                <w:sz w:val="20"/>
              </w:rPr>
            </w:pPr>
            <w:r>
              <w:rPr>
                <w:rFonts w:ascii="Arial" w:hAnsi="Arial" w:cs="Arial" w:eastAsia="Arial"/>
                <w:sz w:val="20"/>
              </w:rPr>
              <w:t>Primidone</w:t>
            </w:r>
          </w:p>
        </w:tc>
      </w:tr>
      <w:tr>
        <w:trPr>
          <w:trHeight w:val="350" w:hRule="atLeast"/>
        </w:trPr>
        <w:tc>
          <w:tcPr>
            <w:tcW w:w="9245" w:type="dxa"/>
          </w:tcPr>
          <w:p>
            <w:pPr>
              <w:pStyle w:val="TableParagraph"/>
              <w:spacing w:before="55"/>
              <w:ind w:left="3056" w:right="3046"/>
              <w:jc w:val="center"/>
              <w:rPr>
                <w:sz w:val="20"/>
              </w:rPr>
            </w:pPr>
            <w:r>
              <w:rPr>
                <w:rFonts w:ascii="Arial" w:hAnsi="Arial" w:cs="Arial" w:eastAsia="Arial"/>
                <w:sz w:val="20"/>
              </w:rPr>
              <w:t>Pregabalin</w:t>
            </w:r>
          </w:p>
        </w:tc>
      </w:tr>
      <w:tr>
        <w:trPr>
          <w:trHeight w:val="350" w:hRule="atLeast"/>
        </w:trPr>
        <w:tc>
          <w:tcPr>
            <w:tcW w:w="9245" w:type="dxa"/>
          </w:tcPr>
          <w:p>
            <w:pPr>
              <w:pStyle w:val="TableParagraph"/>
              <w:spacing w:before="55"/>
              <w:ind w:left="3055" w:right="3049"/>
              <w:jc w:val="center"/>
              <w:rPr>
                <w:sz w:val="20"/>
              </w:rPr>
            </w:pPr>
            <w:r>
              <w:rPr>
                <w:rFonts w:ascii="Arial" w:hAnsi="Arial" w:cs="Arial" w:eastAsia="Arial"/>
                <w:sz w:val="20"/>
              </w:rPr>
              <w:t>Rufinamide</w:t>
            </w:r>
          </w:p>
        </w:tc>
      </w:tr>
      <w:tr>
        <w:trPr>
          <w:trHeight w:val="350" w:hRule="atLeast"/>
        </w:trPr>
        <w:tc>
          <w:tcPr>
            <w:tcW w:w="9245" w:type="dxa"/>
          </w:tcPr>
          <w:p>
            <w:pPr>
              <w:pStyle w:val="TableParagraph"/>
              <w:spacing w:before="55"/>
              <w:ind w:left="3056" w:right="3049"/>
              <w:jc w:val="center"/>
              <w:rPr>
                <w:sz w:val="20"/>
              </w:rPr>
            </w:pPr>
            <w:r>
              <w:rPr>
                <w:rFonts w:ascii="Arial" w:hAnsi="Arial" w:cs="Arial" w:eastAsia="Arial"/>
                <w:sz w:val="20"/>
              </w:rPr>
              <w:t>Tiagabine</w:t>
            </w:r>
          </w:p>
        </w:tc>
      </w:tr>
      <w:tr>
        <w:trPr>
          <w:trHeight w:val="350" w:hRule="atLeast"/>
        </w:trPr>
        <w:tc>
          <w:tcPr>
            <w:tcW w:w="9245" w:type="dxa"/>
          </w:tcPr>
          <w:p>
            <w:pPr>
              <w:pStyle w:val="TableParagraph"/>
              <w:spacing w:before="55"/>
              <w:ind w:left="3056" w:right="3049"/>
              <w:jc w:val="center"/>
              <w:rPr>
                <w:sz w:val="20"/>
              </w:rPr>
            </w:pPr>
            <w:r>
              <w:rPr>
                <w:rFonts w:ascii="Arial" w:hAnsi="Arial" w:cs="Arial" w:eastAsia="Arial"/>
                <w:sz w:val="20"/>
              </w:rPr>
              <w:t>Vigabatrin</w:t>
            </w:r>
          </w:p>
        </w:tc>
      </w:tr>
      <w:tr>
        <w:trPr>
          <w:trHeight w:val="1050" w:hRule="atLeast"/>
        </w:trPr>
        <w:tc>
          <w:tcPr>
            <w:tcW w:w="9245" w:type="dxa"/>
          </w:tcPr>
          <w:p>
            <w:pPr>
              <w:pStyle w:val="TableParagraph"/>
              <w:spacing w:before="55"/>
              <w:ind w:left="107"/>
              <w:rPr>
                <w:sz w:val="20"/>
              </w:rPr>
            </w:pPr>
            <w:r>
              <w:rPr>
                <w:rFonts w:ascii="Arial" w:hAnsi="Arial" w:cs="Arial" w:eastAsia="Arial"/>
                <w:sz w:val="20"/>
              </w:rPr>
              <w:t>The above list of prohibited concomitant medications is not exhaustive.</w:t>
            </w:r>
          </w:p>
          <w:p>
            <w:pPr>
              <w:pStyle w:val="TableParagraph"/>
              <w:spacing w:before="8"/>
              <w:rPr>
                <w:rFonts w:ascii="Arial"/>
                <w:b/>
                <w:sz w:val="20"/>
              </w:rPr>
            </w:pPr>
          </w:p>
          <w:p>
            <w:pPr>
              <w:pStyle w:val="TableParagraph"/>
              <w:ind w:left="107" w:right="899"/>
              <w:rPr>
                <w:sz w:val="20"/>
              </w:rPr>
            </w:pPr>
            <w:r>
              <w:rPr>
                <w:rFonts w:ascii="Arial" w:hAnsi="Arial" w:cs="Arial" w:eastAsia="Arial"/>
                <w:sz w:val="20"/>
              </w:rPr>
              <w:t>The investigator should provide further guidance before switching any of the concomitant medications mentioned in the above list.</w:t>
            </w:r>
          </w:p>
        </w:tc>
      </w:tr>
    </w:tbl>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spacing w:before="144"/>
        <w:ind w:left="240" w:right="0" w:firstLine="0"/>
        <w:jc w:val="left"/>
        <w:rPr>
          <w:rFonts w:ascii="Arial"/>
          <w:b/>
          <w:sz w:val="28"/>
        </w:rPr>
      </w:pPr>
      <w:r>
        <w:rPr>
          <w:rFonts w:ascii="Arial" w:hAnsi="Arial" w:cs="Arial" w:eastAsia="Arial"/>
          <w:b/>
          <w:sz w:val="28"/>
        </w:rPr>
        <w:t>PROTOCOL SIGNATURE PAGE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rPr>
          <w:rFonts w:ascii="Arial"/>
          <w:b/>
          <w:sz w:val="26"/>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2997" w:val="left" w:leader="none"/>
        </w:tabs>
        <w:spacing w:before="0"/>
        <w:ind w:left="240" w:right="0" w:firstLine="0"/>
        <w:jc w:val="left"/>
        <w:rPr>
          <w:sz w:val="24"/>
        </w:rPr>
      </w:pPr>
      <w:r>
        <w:rPr>
          <w:rFonts w:ascii="Arial" w:hAnsi="Arial" w:cs="Arial" w:eastAsia="Arial"/>
          <w:b/>
          <w:sz w:val="24"/>
        </w:rPr>
        <w:t>Study</w:t>
      </w:r>
      <w:r>
        <w:rPr>
          <w:rFonts w:ascii="Arial" w:hAnsi="Arial" w:cs="Arial" w:eastAsia="Arial"/>
          <w:b/>
          <w:spacing w:val="-1"/>
          <w:sz w:val="24"/>
        </w:rPr>
        <w:t xml:space="preserve">  </w:t>
      </w:r>
      <w:r>
        <w:rPr>
          <w:rFonts w:ascii="Arial" w:hAnsi="Arial" w:cs="Arial" w:eastAsia="Arial"/>
          <w:b/>
          <w:sz w:val="24"/>
        </w:rPr>
        <w:t xml:space="preserve">  Protocol</w:t>
      </w:r>
      <w:r>
        <w:rPr>
          <w:rFonts w:ascii="Arial" w:hAnsi="Arial" w:cs="Arial" w:eastAsia="Arial"/>
          <w:b/>
          <w:spacing w:val="-1"/>
          <w:sz w:val="24"/>
        </w:rPr>
        <w:t xml:space="preserve">  </w:t>
      </w:r>
      <w:r>
        <w:rPr>
          <w:rFonts w:ascii="Arial" w:hAnsi="Arial" w:cs="Arial" w:eastAsia="Arial"/>
          <w:b/>
          <w:sz w:val="24"/>
        </w:rPr>
        <w:t xml:space="preserve">  Number:</w:t>
        <w:tab/>
      </w:r>
      <w:r>
        <w:rPr>
          <w:rFonts w:ascii="Arial" w:hAnsi="Arial" w:cs="Arial" w:eastAsia="Arial"/>
          <w:sz w:val="24"/>
        </w:rPr>
        <w:t>E2730-A001-201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2997" w:val="left" w:leader="none"/>
        </w:tabs>
        <w:spacing w:line="274" w:lineRule="exact" w:before="120"/>
        <w:ind w:left="240" w:right="0" w:firstLine="0"/>
        <w:jc w:val="left"/>
        <w:rPr>
          <w:sz w:val="24"/>
        </w:rPr>
      </w:pPr>
      <w:r>
        <w:rPr>
          <w:rFonts w:ascii="Arial" w:hAnsi="Arial" w:cs="Arial" w:eastAsia="Arial"/>
          <w:b/>
          <w:sz w:val="24"/>
        </w:rPr>
        <w:t>Study</w:t>
      </w:r>
      <w:r>
        <w:rPr>
          <w:rFonts w:ascii="Arial" w:hAnsi="Arial" w:cs="Arial" w:eastAsia="Arial"/>
          <w:b/>
          <w:spacing w:val="-5"/>
          <w:sz w:val="24"/>
        </w:rPr>
        <w:t xml:space="preserve">  </w:t>
      </w:r>
      <w:r>
        <w:rPr>
          <w:rFonts w:ascii="Arial" w:hAnsi="Arial" w:cs="Arial" w:eastAsia="Arial"/>
          <w:b/>
          <w:sz w:val="24"/>
        </w:rPr>
        <w:t xml:space="preserve">  Protocol</w:t>
      </w:r>
      <w:r>
        <w:rPr>
          <w:rFonts w:ascii="Arial" w:hAnsi="Arial" w:cs="Arial" w:eastAsia="Arial"/>
          <w:b/>
          <w:spacing w:val="-5"/>
          <w:sz w:val="24"/>
        </w:rPr>
        <w:t xml:space="preserve">  </w:t>
      </w:r>
      <w:r>
        <w:rPr>
          <w:rFonts w:ascii="Arial" w:hAnsi="Arial" w:cs="Arial" w:eastAsia="Arial"/>
          <w:b/>
          <w:sz w:val="24"/>
        </w:rPr>
        <w:t xml:space="preserve">  Title:</w:t>
        <w:tab/>
      </w:r>
      <w:r>
        <w:rPr>
          <w:rFonts w:ascii="Arial" w:hAnsi="Arial" w:cs="Arial" w:eastAsia="Arial"/>
          <w:sz w:val="24"/>
        </w:rPr>
        <w:t>A Multicenter, Double-Blind, Randomized, Cross-Over</w:t>
      </w:r>
      <w:r>
        <w:rPr>
          <w:rFonts w:ascii="Arial" w:hAnsi="Arial" w:cs="Arial" w:eastAsia="Arial"/>
          <w:spacing w:val="-8"/>
          <w:sz w:val="24"/>
        </w:rPr>
        <w:t xml:space="preserve">  </w:t>
      </w:r>
      <w:r>
        <w:rPr>
          <w:rFonts w:ascii="Arial" w:hAnsi="Arial" w:cs="Arial" w:eastAsia="Arial"/>
          <w:sz w:val="24"/>
        </w:rPr>
        <w:t xml:space="preserv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997" w:right="950"/>
      </w:pPr>
      <w:r>
        <w:rPr>
          <w:rFonts w:ascii="Arial" w:hAnsi="Arial" w:cs="Arial" w:eastAsia="Arial"/>
        </w:rPr>
        <w:t>Evaluating Pharmacodynamic Activity of E2730 in Adult Subjects with Photosensitive Epilepsy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spacing w:before="122"/>
        <w:ind w:left="240" w:right="18"/>
      </w:pPr>
      <w:r>
        <w:rPr>
          <w:rFonts w:ascii="Arial" w:hAnsi="Arial" w:cs="Arial" w:eastAsia="Arial"/>
        </w:rPr>
        <w:t>Investigational Product Name: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18"/>
        <w:ind w:left="240"/>
      </w:pPr>
      <w:r>
        <w:rPr>
          <w:rFonts w:ascii="Arial" w:hAnsi="Arial" w:cs="Arial" w:eastAsia="Arial"/>
        </w:rPr>
        <w:br w:type="column"/>
      </w:r>
      <w:r>
        <w:rPr>
          <w:rFonts w:ascii="Arial" w:hAnsi="Arial" w:cs="Arial" w:eastAsia="Arial"/>
        </w:rPr>
        <w:t>E2730</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3717" w:val="right" w:leader="none"/>
        </w:tabs>
        <w:spacing w:before="120"/>
        <w:ind w:left="240" w:right="0" w:firstLine="0"/>
        <w:jc w:val="left"/>
        <w:rPr>
          <w:sz w:val="24"/>
        </w:rPr>
      </w:pPr>
      <w:r>
        <w:rPr>
          <w:rFonts w:ascii="Arial" w:hAnsi="Arial" w:cs="Arial" w:eastAsia="Arial"/>
          <w:b/>
          <w:sz w:val="24"/>
        </w:rPr>
        <w:t>IND</w:t>
      </w:r>
      <w:r>
        <w:rPr>
          <w:rFonts w:ascii="Arial" w:hAnsi="Arial" w:cs="Arial" w:eastAsia="Arial"/>
          <w:b/>
          <w:spacing w:val="-2"/>
          <w:sz w:val="24"/>
        </w:rPr>
        <w:t xml:space="preserve">  </w:t>
      </w:r>
      <w:r>
        <w:rPr>
          <w:rFonts w:ascii="Arial" w:hAnsi="Arial" w:cs="Arial" w:eastAsia="Arial"/>
          <w:b/>
          <w:sz w:val="24"/>
        </w:rPr>
        <w:t xml:space="preserve">  Number:</w:t>
        <w:tab/>
      </w:r>
      <w:r>
        <w:rPr>
          <w:rFonts w:ascii="Arial" w:hAnsi="Arial" w:cs="Arial" w:eastAsia="Arial"/>
          <w:sz w:val="24"/>
        </w:rPr>
        <w:t>124728</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sz w:val="5"/>
        </w:rPr>
      </w:pPr>
    </w:p>
    <w:tbl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91"/>
        <w:gridCol w:w="1908"/>
      </w:tblGrid>
      <w:tr>
        <w:trPr>
          <w:trHeight w:val="1511" w:hRule="atLeast"/>
        </w:trPr>
        <w:tc>
          <w:tcPr>
            <w:tcW w:w="7291" w:type="dxa"/>
            <w:vMerge w:val="restart"/>
            <w:tcBorders>
              <w:right w:val="nil"/>
            </w:tcBorders>
          </w:tcPr>
          <w:p>
            <w:pPr>
              <w:pStyle w:val="TableParagraph"/>
              <w:spacing w:before="56"/>
              <w:ind w:left="107"/>
              <w:rPr>
                <w:b/>
                <w:sz w:val="24"/>
              </w:rPr>
            </w:pPr>
            <w:r>
              <w:rPr>
                <w:rFonts w:ascii="Arial" w:hAnsi="Arial" w:cs="Arial" w:eastAsia="Arial"/>
                <w:b/>
                <w:sz w:val="24"/>
              </w:rPr>
              <w:t>SIGNATURES</w:t>
            </w:r>
          </w:p>
          <w:p>
            <w:pPr>
              <w:pStyle w:val="TableParagraph"/>
              <w:spacing w:before="115"/>
              <w:ind w:left="107"/>
              <w:rPr>
                <w:sz w:val="24"/>
              </w:rPr>
            </w:pPr>
            <w:r>
              <w:rPr>
                <w:rFonts w:ascii="Arial" w:hAnsi="Arial" w:cs="Arial" w:eastAsia="Arial"/>
                <w:sz w:val="24"/>
              </w:rPr>
              <w:t>Authors:</w:t>
            </w:r>
          </w:p>
          <w:p>
            <w:pPr>
              <w:pStyle w:val="TableParagraph"/>
              <w:rPr>
                <w:sz w:val="20"/>
              </w:rPr>
            </w:pPr>
          </w:p>
          <w:p>
            <w:pPr>
              <w:pStyle w:val="TableParagraph"/>
              <w:rPr>
                <w:sz w:val="20"/>
              </w:rPr>
            </w:pPr>
          </w:p>
          <w:p>
            <w:pPr>
              <w:pStyle w:val="TableParagraph"/>
              <w:spacing w:before="6"/>
              <w:rPr>
                <w:sz w:val="28"/>
              </w:rPr>
            </w:pPr>
          </w:p>
          <w:p>
            <w:pPr>
              <w:pStyle w:val="TableParagraph"/>
              <w:spacing w:line="20" w:lineRule="exact"/>
              <w:ind w:left="714"/>
              <w:rPr>
                <w:sz w:val="2"/>
              </w:rPr>
            </w:pPr>
            <w:r>
              <w:rPr>
                <w:rFonts w:ascii="Arial" w:hAnsi="Arial" w:cs="Arial" w:eastAsia="Arial"/>
                <w:sz w:val="2"/>
              </w:rPr>
              <w:pict>
                <v:group style="width:306pt;height:.5pt;mso-position-horizontal-relative:char;mso-position-vertical-relative:line" coordorigin="0,0" coordsize="6120,10">
                  <v:line style="position:absolute" from="0,5" to="6120,5" stroked="true" strokeweight=".48pt" strokecolor="#000000">
                    <v:stroke dashstyle="solid"/>
                  </v:line>
                </v:group>
              </w:pict>
            </w:r>
            <w:r>
              <w:rPr>
                <w:rFonts w:ascii="Arial" w:hAnsi="Arial" w:cs="Arial" w:eastAsia="Arial"/>
                <w:sz w:val="2"/>
              </w:rPr>
            </w:r>
          </w:p>
          <w:p>
            <w:pPr>
              <w:pStyle w:val="TableParagraph"/>
              <w:spacing w:before="43"/>
              <w:ind w:left="890" w:right="618"/>
              <w:jc w:val="center"/>
              <w:rPr>
                <w:sz w:val="22"/>
              </w:rPr>
            </w:pPr>
            <w:r>
              <w:rPr>
                <w:rFonts w:ascii="Arial" w:hAnsi="Arial" w:cs="Arial" w:eastAsia="Arial"/>
                <w:sz w:val="22"/>
              </w:rPr>
              <w:t>Ishani Savant Landry, PhD</w:t>
            </w:r>
          </w:p>
          <w:p>
            <w:pPr>
              <w:pStyle w:val="TableParagraph"/>
              <w:spacing w:before="62"/>
              <w:ind w:left="891" w:right="618"/>
              <w:jc w:val="center"/>
              <w:rPr>
                <w:sz w:val="22"/>
              </w:rPr>
            </w:pPr>
            <w:r>
              <w:rPr>
                <w:rFonts w:ascii="Arial" w:hAnsi="Arial" w:cs="Arial" w:eastAsia="Arial"/>
                <w:sz w:val="22"/>
              </w:rPr>
              <w:t>Study Director and Clinical Pharmacologist</w:t>
            </w:r>
          </w:p>
          <w:p>
            <w:pPr>
              <w:pStyle w:val="TableParagraph"/>
              <w:spacing w:line="297" w:lineRule="auto" w:before="59"/>
              <w:ind w:left="895" w:right="618"/>
              <w:jc w:val="center"/>
              <w:rPr>
                <w:sz w:val="22"/>
              </w:rPr>
            </w:pPr>
            <w:r>
              <w:rPr>
                <w:rFonts w:ascii="Arial" w:hAnsi="Arial" w:cs="Arial" w:eastAsia="Arial"/>
                <w:sz w:val="22"/>
              </w:rPr>
              <w:t>Director, Clinical Pharmacology &amp; Translational Medicine, NBG Eisai, Inc.</w:t>
            </w:r>
          </w:p>
          <w:p>
            <w:pPr>
              <w:pStyle w:val="TableParagraph"/>
              <w:rPr>
                <w:sz w:val="20"/>
              </w:rPr>
            </w:pPr>
          </w:p>
          <w:p>
            <w:pPr>
              <w:pStyle w:val="TableParagraph"/>
              <w:rPr>
                <w:sz w:val="20"/>
              </w:rPr>
            </w:pPr>
          </w:p>
          <w:p>
            <w:pPr>
              <w:pStyle w:val="TableParagraph"/>
              <w:rPr>
                <w:sz w:val="23"/>
              </w:rPr>
            </w:pPr>
          </w:p>
          <w:p>
            <w:pPr>
              <w:pStyle w:val="TableParagraph"/>
              <w:spacing w:line="20" w:lineRule="exact"/>
              <w:ind w:left="714"/>
              <w:rPr>
                <w:sz w:val="2"/>
              </w:rPr>
            </w:pPr>
            <w:r>
              <w:rPr>
                <w:rFonts w:ascii="Arial" w:hAnsi="Arial" w:cs="Arial" w:eastAsia="Arial"/>
                <w:sz w:val="2"/>
              </w:rPr>
              <w:pict>
                <v:group style="width:306pt;height:.5pt;mso-position-horizontal-relative:char;mso-position-vertical-relative:line" coordorigin="0,0" coordsize="6120,10">
                  <v:line style="position:absolute" from="0,5" to="6120,5" stroked="true" strokeweight=".48pt" strokecolor="#000000">
                    <v:stroke dashstyle="solid"/>
                  </v:line>
                </v:group>
              </w:pict>
            </w:r>
            <w:r>
              <w:rPr>
                <w:rFonts w:ascii="Arial" w:hAnsi="Arial" w:cs="Arial" w:eastAsia="Arial"/>
                <w:sz w:val="2"/>
              </w:rPr>
            </w:r>
          </w:p>
          <w:p>
            <w:pPr>
              <w:pStyle w:val="TableParagraph"/>
              <w:spacing w:line="297" w:lineRule="auto" w:before="43"/>
              <w:ind w:left="2949" w:right="2676"/>
              <w:jc w:val="center"/>
              <w:rPr>
                <w:sz w:val="22"/>
              </w:rPr>
            </w:pPr>
            <w:r>
              <w:rPr>
                <w:rFonts w:ascii="Arial" w:hAnsi="Arial" w:cs="Arial" w:eastAsia="Arial"/>
                <w:sz w:val="22"/>
              </w:rPr>
              <w:t>Lynn Kramer, MD Medical Monitor</w:t>
            </w:r>
          </w:p>
          <w:p>
            <w:pPr>
              <w:pStyle w:val="TableParagraph"/>
              <w:spacing w:line="295" w:lineRule="auto"/>
              <w:ind w:left="1334" w:right="1060"/>
              <w:jc w:val="center"/>
              <w:rPr>
                <w:sz w:val="22"/>
              </w:rPr>
            </w:pPr>
            <w:r>
              <w:rPr>
                <w:rFonts w:ascii="Arial" w:hAnsi="Arial" w:cs="Arial" w:eastAsia="Arial"/>
                <w:sz w:val="22"/>
              </w:rPr>
              <w:t>Chief Clinical Officer and Chief Medical Officer, NBG Eisai, Inc.</w:t>
            </w:r>
          </w:p>
          <w:p>
            <w:pPr>
              <w:pStyle w:val="TableParagraph"/>
              <w:rPr>
                <w:sz w:val="20"/>
              </w:rPr>
            </w:pPr>
          </w:p>
          <w:p>
            <w:pPr>
              <w:pStyle w:val="TableParagraph"/>
              <w:rPr>
                <w:sz w:val="20"/>
              </w:rPr>
            </w:pPr>
          </w:p>
          <w:p>
            <w:pPr>
              <w:pStyle w:val="TableParagraph"/>
              <w:spacing w:before="5"/>
              <w:rPr>
                <w:sz w:val="23"/>
              </w:rPr>
            </w:pPr>
          </w:p>
          <w:p>
            <w:pPr>
              <w:pStyle w:val="TableParagraph"/>
              <w:spacing w:line="20" w:lineRule="exact"/>
              <w:ind w:left="714"/>
              <w:rPr>
                <w:sz w:val="2"/>
              </w:rPr>
            </w:pPr>
            <w:r>
              <w:rPr>
                <w:rFonts w:ascii="Arial" w:hAnsi="Arial" w:cs="Arial" w:eastAsia="Arial"/>
                <w:sz w:val="2"/>
              </w:rPr>
              <w:pict>
                <v:group style="width:306pt;height:.5pt;mso-position-horizontal-relative:char;mso-position-vertical-relative:line" coordorigin="0,0" coordsize="6120,10">
                  <v:line style="position:absolute" from="0,5" to="6120,5" stroked="true" strokeweight=".48pt" strokecolor="#000000">
                    <v:stroke dashstyle="solid"/>
                  </v:line>
                </v:group>
              </w:pict>
            </w:r>
            <w:r>
              <w:rPr>
                <w:rFonts w:ascii="Arial" w:hAnsi="Arial" w:cs="Arial" w:eastAsia="Arial"/>
                <w:sz w:val="2"/>
              </w:rPr>
            </w:r>
          </w:p>
          <w:p>
            <w:pPr>
              <w:pStyle w:val="TableParagraph"/>
              <w:spacing w:line="295" w:lineRule="auto" w:before="43"/>
              <w:ind w:left="3007" w:right="2729" w:hanging="5"/>
              <w:jc w:val="center"/>
              <w:rPr>
                <w:sz w:val="22"/>
              </w:rPr>
            </w:pPr>
            <w:r>
              <w:rPr>
                <w:rFonts w:ascii="Arial" w:hAnsi="Arial" w:cs="Arial" w:eastAsia="Arial"/>
                <w:sz w:val="22"/>
              </w:rPr>
              <w:t>Yimin Ma, PhD Study Statistician</w:t>
            </w:r>
          </w:p>
          <w:p>
            <w:pPr>
              <w:pStyle w:val="TableParagraph"/>
              <w:spacing w:before="4"/>
              <w:ind w:left="891" w:right="618"/>
              <w:jc w:val="center"/>
              <w:rPr>
                <w:sz w:val="22"/>
              </w:rPr>
            </w:pPr>
            <w:r>
              <w:rPr>
                <w:rFonts w:ascii="Arial" w:hAnsi="Arial" w:cs="Arial" w:eastAsia="Arial"/>
                <w:sz w:val="22"/>
              </w:rPr>
              <w:t>Senior Manager, Biostatistics, NBG</w:t>
            </w:r>
          </w:p>
          <w:p>
            <w:pPr>
              <w:pStyle w:val="TableParagraph"/>
              <w:spacing w:before="59"/>
              <w:ind w:left="889" w:right="618"/>
              <w:jc w:val="center"/>
              <w:rPr>
                <w:sz w:val="22"/>
              </w:rPr>
            </w:pPr>
            <w:r>
              <w:rPr>
                <w:rFonts w:ascii="Arial" w:hAnsi="Arial" w:cs="Arial" w:eastAsia="Arial"/>
                <w:sz w:val="22"/>
              </w:rPr>
              <w:t>Eisai, Inc.</w:t>
            </w:r>
          </w:p>
        </w:tc>
        <w:tc>
          <w:tcPr>
            <w:tcW w:w="1908" w:type="dxa"/>
            <w:tcBorders>
              <w:left w:val="nil"/>
            </w:tcBorders>
          </w:tcPr>
          <w:p>
            <w:pPr>
              <w:pStyle w:val="TableParagraph"/>
              <w:rPr>
                <w:sz w:val="22"/>
              </w:rPr>
            </w:pPr>
          </w:p>
        </w:tc>
      </w:tr>
      <w:tr>
        <w:trPr>
          <w:trHeight w:val="2032" w:hRule="atLeast"/>
        </w:trPr>
        <w:tc>
          <w:tcPr>
            <w:tcW w:w="7291" w:type="dxa"/>
            <w:vMerge/>
            <w:tcBorders>
              <w:top w:val="nil"/>
              <w:right w:val="nil"/>
            </w:tcBorders>
          </w:tcPr>
          <w:p>
            <w:pPr>
              <w:rPr>
                <w:sz w:val="2"/>
                <w:szCs w:val="2"/>
              </w:rPr>
            </w:pPr>
          </w:p>
        </w:tc>
        <w:tc>
          <w:tcPr>
            <w:tcW w:w="1908" w:type="dxa"/>
            <w:tcBorders>
              <w:left w:val="nil"/>
            </w:tcBorders>
          </w:tcPr>
          <w:p>
            <w:pPr>
              <w:pStyle w:val="TableParagraph"/>
              <w:spacing w:before="53"/>
              <w:ind w:right="732"/>
              <w:jc w:val="right"/>
              <w:rPr>
                <w:sz w:val="22"/>
              </w:rPr>
            </w:pPr>
            <w:r>
              <w:rPr>
                <w:rFonts w:ascii="Arial" w:hAnsi="Arial" w:cs="Arial" w:eastAsia="Arial"/>
                <w:sz w:val="22"/>
              </w:rPr>
              <w:t>Date</w:t>
            </w:r>
          </w:p>
        </w:tc>
      </w:tr>
      <w:tr>
        <w:trPr>
          <w:trHeight w:val="2032" w:hRule="atLeast"/>
        </w:trPr>
        <w:tc>
          <w:tcPr>
            <w:tcW w:w="7291" w:type="dxa"/>
            <w:vMerge/>
            <w:tcBorders>
              <w:top w:val="nil"/>
              <w:right w:val="nil"/>
            </w:tcBorders>
          </w:tcPr>
          <w:p>
            <w:pPr>
              <w:rPr>
                <w:sz w:val="2"/>
                <w:szCs w:val="2"/>
              </w:rPr>
            </w:pPr>
          </w:p>
        </w:tc>
        <w:tc>
          <w:tcPr>
            <w:tcW w:w="1908" w:type="dxa"/>
            <w:tcBorders>
              <w:left w:val="nil"/>
            </w:tcBorders>
          </w:tcPr>
          <w:p>
            <w:pPr>
              <w:pStyle w:val="TableParagraph"/>
              <w:spacing w:before="53"/>
              <w:ind w:right="732"/>
              <w:jc w:val="right"/>
              <w:rPr>
                <w:sz w:val="22"/>
              </w:rPr>
            </w:pPr>
            <w:r>
              <w:rPr>
                <w:rFonts w:ascii="Arial" w:hAnsi="Arial" w:cs="Arial" w:eastAsia="Arial"/>
                <w:sz w:val="22"/>
              </w:rPr>
              <w:t>Date</w:t>
            </w:r>
          </w:p>
        </w:tc>
      </w:tr>
      <w:tr>
        <w:trPr>
          <w:trHeight w:val="1312" w:hRule="atLeast"/>
        </w:trPr>
        <w:tc>
          <w:tcPr>
            <w:tcW w:w="7291" w:type="dxa"/>
            <w:vMerge/>
            <w:tcBorders>
              <w:top w:val="nil"/>
              <w:right w:val="nil"/>
            </w:tcBorders>
          </w:tcPr>
          <w:p>
            <w:pPr>
              <w:rPr>
                <w:sz w:val="2"/>
                <w:szCs w:val="2"/>
              </w:rPr>
            </w:pPr>
          </w:p>
        </w:tc>
        <w:tc>
          <w:tcPr>
            <w:tcW w:w="1908" w:type="dxa"/>
            <w:tcBorders>
              <w:left w:val="nil"/>
            </w:tcBorders>
          </w:tcPr>
          <w:p>
            <w:pPr>
              <w:pStyle w:val="TableParagraph"/>
              <w:spacing w:before="53"/>
              <w:ind w:right="732"/>
              <w:jc w:val="right"/>
              <w:rPr>
                <w:sz w:val="22"/>
              </w:rPr>
            </w:pPr>
            <w:r>
              <w:rPr>
                <w:rFonts w:ascii="Arial" w:hAnsi="Arial" w:cs="Arial" w:eastAsia="Arial"/>
                <w:sz w:val="22"/>
              </w:rPr>
              <w:t>Date</w:t>
            </w:r>
          </w:p>
        </w:tc>
      </w:tr>
    </w:tbl>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spacing w:before="144"/>
        <w:ind w:left="240" w:firstLine="0"/>
      </w:pPr>
      <w:r>
        <w:rPr>
          <w:rFonts w:ascii="Arial" w:hAnsi="Arial" w:cs="Arial" w:eastAsia="Arial"/>
        </w:rPr>
        <w:t>INVESTIGATOR SIGNATURE PAGE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rPr>
          <w:rFonts w:ascii="Arial"/>
          <w:b/>
          <w:sz w:val="26"/>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3047" w:val="left" w:leader="none"/>
        </w:tabs>
        <w:spacing w:before="0"/>
        <w:ind w:left="240" w:right="0" w:firstLine="0"/>
        <w:jc w:val="left"/>
        <w:rPr>
          <w:sz w:val="24"/>
        </w:rPr>
      </w:pPr>
      <w:r>
        <w:rPr>
          <w:rFonts w:ascii="Arial" w:hAnsi="Arial" w:cs="Arial" w:eastAsia="Arial"/>
          <w:b/>
          <w:sz w:val="24"/>
        </w:rPr>
        <w:t>Study</w:t>
      </w:r>
      <w:r>
        <w:rPr>
          <w:rFonts w:ascii="Arial" w:hAnsi="Arial" w:cs="Arial" w:eastAsia="Arial"/>
          <w:b/>
          <w:spacing w:val="-1"/>
          <w:sz w:val="24"/>
        </w:rPr>
        <w:t xml:space="preserve">  </w:t>
      </w:r>
      <w:r>
        <w:rPr>
          <w:rFonts w:ascii="Arial" w:hAnsi="Arial" w:cs="Arial" w:eastAsia="Arial"/>
          <w:b/>
          <w:sz w:val="24"/>
        </w:rPr>
        <w:t xml:space="preserve">  Protocol</w:t>
      </w:r>
      <w:r>
        <w:rPr>
          <w:rFonts w:ascii="Arial" w:hAnsi="Arial" w:cs="Arial" w:eastAsia="Arial"/>
          <w:b/>
          <w:spacing w:val="-1"/>
          <w:sz w:val="24"/>
        </w:rPr>
        <w:t xml:space="preserve">  </w:t>
      </w:r>
      <w:r>
        <w:rPr>
          <w:rFonts w:ascii="Arial" w:hAnsi="Arial" w:cs="Arial" w:eastAsia="Arial"/>
          <w:b/>
          <w:sz w:val="24"/>
        </w:rPr>
        <w:t xml:space="preserve">  Number:</w:t>
        <w:tab/>
      </w:r>
      <w:r>
        <w:rPr>
          <w:rFonts w:ascii="Arial" w:hAnsi="Arial" w:cs="Arial" w:eastAsia="Arial"/>
          <w:sz w:val="24"/>
        </w:rPr>
        <w:t>E2730-A001-201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3047" w:val="left" w:leader="none"/>
        </w:tabs>
        <w:spacing w:line="274" w:lineRule="exact" w:before="120"/>
        <w:ind w:left="240" w:right="0" w:firstLine="0"/>
        <w:jc w:val="left"/>
        <w:rPr>
          <w:sz w:val="24"/>
        </w:rPr>
      </w:pPr>
      <w:r>
        <w:rPr>
          <w:rFonts w:ascii="Arial" w:hAnsi="Arial" w:cs="Arial" w:eastAsia="Arial"/>
          <w:b/>
          <w:sz w:val="24"/>
        </w:rPr>
        <w:t>Study</w:t>
      </w:r>
      <w:r>
        <w:rPr>
          <w:rFonts w:ascii="Arial" w:hAnsi="Arial" w:cs="Arial" w:eastAsia="Arial"/>
          <w:b/>
          <w:spacing w:val="-5"/>
          <w:sz w:val="24"/>
        </w:rPr>
        <w:t xml:space="preserve">  </w:t>
      </w:r>
      <w:r>
        <w:rPr>
          <w:rFonts w:ascii="Arial" w:hAnsi="Arial" w:cs="Arial" w:eastAsia="Arial"/>
          <w:b/>
          <w:sz w:val="24"/>
        </w:rPr>
        <w:t xml:space="preserve">  Protocol</w:t>
      </w:r>
      <w:r>
        <w:rPr>
          <w:rFonts w:ascii="Arial" w:hAnsi="Arial" w:cs="Arial" w:eastAsia="Arial"/>
          <w:b/>
          <w:spacing w:val="-5"/>
          <w:sz w:val="24"/>
        </w:rPr>
        <w:t xml:space="preserve">  </w:t>
      </w:r>
      <w:r>
        <w:rPr>
          <w:rFonts w:ascii="Arial" w:hAnsi="Arial" w:cs="Arial" w:eastAsia="Arial"/>
          <w:b/>
          <w:sz w:val="24"/>
        </w:rPr>
        <w:t xml:space="preserve">  Title:</w:t>
        <w:tab/>
      </w:r>
      <w:r>
        <w:rPr>
          <w:rFonts w:ascii="Arial" w:hAnsi="Arial" w:cs="Arial" w:eastAsia="Arial"/>
          <w:sz w:val="24"/>
        </w:rPr>
        <w:t>A Multicenter, Double-Blind, Randomized, Cross-Over</w:t>
      </w:r>
      <w:r>
        <w:rPr>
          <w:rFonts w:ascii="Arial" w:hAnsi="Arial" w:cs="Arial" w:eastAsia="Arial"/>
          <w:spacing w:val="-9"/>
          <w:sz w:val="24"/>
        </w:rPr>
        <w:t xml:space="preserve">  </w:t>
      </w:r>
      <w:r>
        <w:rPr>
          <w:rFonts w:ascii="Arial" w:hAnsi="Arial" w:cs="Arial" w:eastAsia="Arial"/>
          <w:sz w:val="24"/>
        </w:rPr>
        <w:t xml:space="preserv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3048" w:right="899"/>
      </w:pPr>
      <w:r>
        <w:rPr>
          <w:rFonts w:ascii="Arial" w:hAnsi="Arial" w:cs="Arial" w:eastAsia="Arial"/>
        </w:rPr>
        <w:t>Evaluating Pharmacodynamic Activity of E2730 in Adult Subjects with Photosensitive Epilepsy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Normal"/>
        <w:spacing w:before="122"/>
        <w:ind w:left="240" w:right="18"/>
      </w:pPr>
      <w:r>
        <w:rPr>
          <w:rFonts w:ascii="Arial" w:hAnsi="Arial" w:cs="Arial" w:eastAsia="Arial"/>
        </w:rPr>
        <w:t>Investigational Product Name: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18"/>
        <w:ind w:left="240"/>
      </w:pPr>
      <w:r>
        <w:rPr>
          <w:rFonts w:ascii="Arial" w:hAnsi="Arial" w:cs="Arial" w:eastAsia="Arial"/>
        </w:rPr>
        <w:br w:type="column"/>
      </w:r>
      <w:r>
        <w:rPr>
          <w:rFonts w:ascii="Arial" w:hAnsi="Arial" w:cs="Arial" w:eastAsia="Arial"/>
        </w:rPr>
        <w:t>E2730</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tabs>
          <w:tab w:pos="3767" w:val="right" w:leader="none"/>
        </w:tabs>
        <w:spacing w:before="120"/>
        <w:ind w:left="240" w:right="0" w:firstLine="0"/>
        <w:jc w:val="left"/>
        <w:rPr>
          <w:sz w:val="24"/>
        </w:rPr>
      </w:pPr>
      <w:r>
        <w:rPr>
          <w:rFonts w:ascii="Arial" w:hAnsi="Arial" w:cs="Arial" w:eastAsia="Arial"/>
          <w:b/>
          <w:sz w:val="24"/>
        </w:rPr>
        <w:t>IND</w:t>
      </w:r>
      <w:r>
        <w:rPr>
          <w:rFonts w:ascii="Arial" w:hAnsi="Arial" w:cs="Arial" w:eastAsia="Arial"/>
          <w:b/>
          <w:spacing w:val="-2"/>
          <w:sz w:val="24"/>
        </w:rPr>
        <w:t xml:space="preserve">  </w:t>
      </w:r>
      <w:r>
        <w:rPr>
          <w:rFonts w:ascii="Arial" w:hAnsi="Arial" w:cs="Arial" w:eastAsia="Arial"/>
          <w:b/>
          <w:sz w:val="24"/>
        </w:rPr>
        <w:t xml:space="preserve">  Number:</w:t>
        <w:tab/>
      </w:r>
      <w:r>
        <w:rPr>
          <w:rFonts w:ascii="Arial" w:hAnsi="Arial" w:cs="Arial" w:eastAsia="Arial"/>
          <w:sz w:val="24"/>
        </w:rPr>
        <w:t>124728</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32"/>
        <w:ind w:left="240" w:right="269"/>
      </w:pPr>
      <w:r>
        <w:rPr>
          <w:rFonts w:ascii="Arial" w:hAnsi="Arial" w:cs="Arial" w:eastAsia="Arial"/>
        </w:rPr>
        <w:t>I have read this protocol and agree to conduct this study in accordance with all stipulations of the protocol and in accordance with International Council for Harmonisation of Technical Requirements for Pharmaceuticals for Human Use (ICH) and all applicable local Good Clinical Practice (GCP) guidelines, including the Declaration of Helsinki.</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line="633" w:lineRule="auto" w:before="816"/>
        <w:ind w:left="240" w:right="6380"/>
      </w:pPr>
      <w:r>
        <w:rPr>
          <w:rFonts w:ascii="Arial" w:hAnsi="Arial" w:cs="Arial" w:eastAsia="Arial"/>
        </w:rPr>
        <w:pict>
          <v:line style="position:absolute;mso-position-horizontal-relative:page;mso-position-vertical-relative:paragraph;z-index:-255884288" from="84.599998pt,74.443123pt" to="544.559998pt,74.443123pt" stroked="true" strokeweight=".48pt" strokecolor="#000000">
            <v:stroke dashstyle="solid"/>
            <w10:wrap type="none"/>
          </v:line>
        </w:pict>
      </w:r>
      <w:r>
        <w:rPr>
          <w:rFonts w:ascii="Arial" w:hAnsi="Arial" w:cs="Arial" w:eastAsia="Arial"/>
        </w:rPr>
        <w:t>&lt;Name of </w:t>
      </w:r>
      <w:r>
        <w:rPr>
          <w:rFonts w:ascii="Arial" w:hAnsi="Arial" w:cs="Arial" w:eastAsia="Arial"/>
          <w:spacing w:val="-2"/>
        </w:rPr>
        <w:t xml:space="preserve">  institution&gt; </w:t>
      </w:r>
      <w:r>
        <w:rPr>
          <w:rFonts w:ascii="Arial" w:hAnsi="Arial" w:cs="Arial" w:eastAsia="Arial"/>
        </w:rPr>
        <w:t xml:space="preserve">  Medical</w:t>
      </w:r>
      <w:r>
        <w:rPr>
          <w:rFonts w:ascii="Arial" w:hAnsi="Arial" w:cs="Arial" w:eastAsia="Arial"/>
          <w:spacing w:val="-2"/>
        </w:rPr>
        <w:t xml:space="preserve">  </w:t>
      </w:r>
      <w:r>
        <w:rPr>
          <w:rFonts w:ascii="Arial" w:hAnsi="Arial" w:cs="Arial" w:eastAsia="Arial"/>
        </w:rPr>
        <w:t xml:space="preserve">  Institution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568"/>
        <w:ind w:left="240"/>
      </w:pPr>
      <w:r>
        <w:rPr>
          <w:rFonts w:ascii="Arial" w:hAnsi="Arial" w:cs="Arial" w:eastAsia="Arial"/>
        </w:rPr>
        <w:t>&lt;Name,</w:t>
      </w:r>
      <w:r>
        <w:rPr>
          <w:rFonts w:ascii="Arial" w:hAnsi="Arial" w:cs="Arial" w:eastAsia="Arial"/>
          <w:spacing w:val="-11"/>
        </w:rPr>
        <w:t xml:space="preserve">  </w:t>
      </w:r>
      <w:r>
        <w:rPr>
          <w:rFonts w:ascii="Arial" w:hAnsi="Arial" w:cs="Arial" w:eastAsia="Arial"/>
        </w:rPr>
        <w:t xml:space="preserve">  degree(s)&gt;</w:t>
      </w:r>
    </w:p>
    <w:p>
      <w:r>
        <w:cr/>
      </w:r>
    </w:p>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71C73273" w14:textId="4CE5918D" w:rsidR="00046283" w:rsidRPr="0007375A" w:rsidRDefault="0007375A" w:rsidP="0007375A">
      <w:pPr>
        <w:spacing w:after="0"/>
        <w:rPr>
          <w:i/>
          <w:iCs/>
        </w:rPr>
      </w:pP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sidRPr="0007375A">
        <w:rPr>
          <w:rFonts w:ascii="Arial" w:hAnsi="Arial" w:cs="Arial" w:eastAsia="Arial"/>
          <w:b/>
          <w:bCs/>
          <w:i/>
          <w:iCs/>
          <w:color w:val="0D0D0D" w:themeColor="text1" w:themeTint="F2"/>
          <w:highlight w:val="yellow"/>
        </w:rPr>
        <w:t xml:space="preserve">Please fill this </w:t>
      </w:r>
      <w:r w:rsidRPr="0007375A">
        <w:rPr>
          <w:rFonts w:ascii="Arial" w:hAnsi="Arial" w:cs="Arial" w:eastAsia="Arial"/>
          <w:b/>
          <w:bCs/>
          <w:i/>
          <w:iCs/>
          <w:color w:val="0D0D0D" w:themeColor="text1" w:themeTint="F2"/>
          <w:highlight w:val="yellow"/>
        </w:rPr>
        <w:t xml:space="preserve">section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t xml:space="preserve">                     </w:t>
      </w:r>
    </w:p>
    <w:p>
      <w:pPr>
        <w:pStyle w:val="Heading3"/>
        <w:keepNext w:val="on"/>
        <w:ind w:left="3"/>
      </w:pPr>
      <w:r>
        <w:rPr>
          <w:rFonts w:ascii="Arial" w:hAnsi="Arial" w:cs="Arial" w:eastAsia="Arial"/>
          <w:b w:val="true"/>
          <w:sz w:val="22"/>
        </w:rPr>
        <w:t xml:space="preserve">    9.5.2 </w:t>
        <w:t>APPROPRIATENESS OF MEASUREMENTS</w:t>
      </w:r>
      <w:bookmarkStart w:name="_APPROPRIATENESS_OF_MEASUREMENTS" w:id="1282"/>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02"/>
      </w:pPr>
      <w:r>
        <w:rPr>
          <w:rFonts w:ascii="Arial" w:hAnsi="Arial" w:cs="Arial" w:eastAsia="Arial"/>
        </w:rPr>
        <w:t>Most of the clinical assessments are standard measurements commonly used in Phase 2 studies of epilepsy. The safety assessments to be performed in this study, including monitoring and recording all AEs; laboratory evaluation for hematology, blood chemistry, and urine values; measurement of vital signs and ECGs; and the performance of neurological and physical examinations, are standard evaluations to ensure subject safety.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7"/>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In addition to the standard safety measurements, Bond and Lader VAS will be conducted in this study. The Bond and Lader VAS (</w:t>
      </w:r>
      <w:r>
        <w:rPr>
          <w:rFonts w:ascii="Arial" w:hAnsi="Arial" w:cs="Arial" w:eastAsia="Arial"/>
          <w:color w:val="0000FF"/>
        </w:rPr>
        <w:t>Bond, 1974</w:t>
      </w:r>
      <w:r>
        <w:rPr>
          <w:rFonts w:ascii="Arial" w:hAnsi="Arial" w:cs="Arial" w:eastAsia="Arial"/>
        </w:rPr>
        <w:t>) is a sensitive tool to assess CNS side effects (somnolence, body sway, dizziness and sedation etc.). Since CNS related side effects were observed in nonclinical studies of E2730, Bond and Lader VAS is included for assessment of CNS-related sedation effects in this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423"/>
      </w:pPr>
      <w:r>
        <w:rPr>
          <w:rFonts w:ascii="Arial" w:hAnsi="Arial" w:cs="Arial" w:eastAsia="Arial"/>
        </w:rPr>
        <w:t>The EEG-IPS procedure during this study will be performed based upon the protocol of Kastelejin et al </w:t>
      </w:r>
      <w:r>
        <w:rPr>
          <w:rFonts w:ascii="Arial" w:hAnsi="Arial" w:cs="Arial" w:eastAsia="Arial"/>
          <w:color w:val="0000FF"/>
        </w:rPr>
        <w:t xml:space="preserve">  (Kastelejin-Nolst Trenité, et al, 1996</w:t>
      </w:r>
      <w:r>
        <w:rPr>
          <w:rFonts w:ascii="Arial" w:hAnsi="Arial" w:cs="Arial" w:eastAsia="Arial"/>
        </w:rPr>
        <w:t>). The combination of lower and upper frequencies gives a total of 3 photosensitivity ranges, 1 per eye condition (eye closure, eyes closed, and eyes open). In order to minimize the risk of inducing a seizure, photic stimulation will not be carried out between the upper and lower thresholds. However, qualified medical personnel for the management of acute seizures will be present during the day of EEG-IPS procedure throughout the duration of the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w:r>
        <w:cr/>
      </w:r>
    </w:p>
    <w:p>
      <w:pPr>
        <w:pStyle w:val="Heading3"/>
        <w:keepNext w:val="on"/>
        <w:ind w:left="3"/>
      </w:pPr>
      <w:r>
        <w:rPr>
          <w:rFonts w:ascii="Arial" w:hAnsi="Arial" w:cs="Arial" w:eastAsia="Arial"/>
          <w:b w:val="true"/>
          <w:sz w:val="22"/>
        </w:rPr>
        <w:t xml:space="preserve">    9.5.3 </w:t>
        <w:t>Efficacy Variable</w:t>
      </w:r>
      <w:bookmarkStart w:name="_Efficacy_Variable" w:id="1283"/>
    </w:p>
    <w:p>
      <w:pPr>
        <w:pStyle w:val="Heading3"/>
        <w:keepNext w:val="on"/>
        <w:ind w:left="3"/>
      </w:pPr>
      <w:r>
        <w:rPr>
          <w:rFonts w:ascii="Arial" w:hAnsi="Arial" w:cs="Arial" w:eastAsia="Arial"/>
          <w:b w:val="true"/>
          <w:sz w:val="22"/>
        </w:rPr>
        <w:t xml:space="preserve">    9.5.4 </w:t>
        <w:t>Safety Variable</w:t>
      </w:r>
      <w:bookmarkStart w:name="_Safety_Variable" w:id="1284"/>
    </w:p>
    <w:p>
      <w:pPr>
        <w:pStyle w:val="Heading3"/>
        <w:keepNext w:val="on"/>
        <w:ind w:left="2"/>
      </w:pPr>
      <w:r>
        <w:rPr>
          <w:rFonts w:ascii="Arial" w:hAnsi="Arial" w:cs="Arial" w:eastAsia="Arial"/>
          <w:b w:val="true"/>
          <w:sz w:val="24"/>
        </w:rPr>
        <w:t xml:space="preserve">  9.6 </w:t>
        <w:t>DATA QUALITY ASSURANCE</w:t>
      </w:r>
      <w:bookmarkStart w:name="_DATA_QUALITY_ASSURANCE" w:id="1285"/>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40" w:right="889"/>
      </w:pPr>
      <w:r>
        <w:rPr>
          <w:rFonts w:ascii="Arial" w:hAnsi="Arial" w:cs="Arial" w:eastAsia="Arial"/>
        </w:rPr>
        <w:t>This study will be organized, performed, and reported in compliance with the protocol, SOPs, working practice documents, and applicable regulations and guidelines.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4"/>
        </w:numPr>
        <w:tabs>
          <w:tab w:pos="1199" w:val="left" w:leader="none"/>
          <w:tab w:pos="1200" w:val="left" w:leader="none"/>
        </w:tabs>
        <w:spacing w:line="240" w:lineRule="auto" w:before="0" w:after="0"/>
        <w:ind w:left="1200" w:right="0" w:hanging="960"/>
        <w:jc w:val="left"/>
        <w:rPr>
          <w:rFonts w:ascii="Arial"/>
          <w:sz w:val="24"/>
        </w:rPr>
      </w:pPr>
      <w:bookmarkStart w:name="9.6.1 Data Collection" w:id="254"/>
      <w:bookmarkEnd w:id="254"/>
      <w:r>
        <w:rPr>
          <w:rFonts w:ascii="Arial" w:hAnsi="Arial" w:cs="Arial" w:eastAsia="Arial"/>
        </w:rPr>
      </w:r>
      <w:bookmarkStart w:name="_bookmark94" w:id="255"/>
      <w:bookmarkEnd w:id="255"/>
      <w:r>
        <w:rPr>
          <w:rFonts w:ascii="Arial" w:hAnsi="Arial" w:cs="Arial" w:eastAsia="Arial"/>
        </w:rPr>
      </w:r>
      <w:bookmarkStart w:name="_bookmark94" w:id="256"/>
      <w:bookmarkEnd w:id="256"/>
      <w:r>
        <w:rPr>
          <w:rFonts w:ascii="Arial" w:hAnsi="Arial" w:cs="Arial" w:eastAsia="Arial"/>
          <w:sz w:val="24"/>
        </w:rPr>
        <w:t>Data</w:t>
      </w:r>
      <w:r>
        <w:rPr>
          <w:rFonts w:ascii="Arial" w:hAnsi="Arial" w:cs="Arial" w:eastAsia="Arial"/>
          <w:sz w:val="24"/>
        </w:rPr>
        <w:t xml:space="preserve">  Collection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55"/>
      </w:pPr>
      <w:r>
        <w:rPr>
          <w:rFonts w:ascii="Arial" w:hAnsi="Arial" w:cs="Arial" w:eastAsia="Arial"/>
        </w:rPr>
        <w:t>Data required by the protocol will be collected on the CRFs and entered into a validated data management system that is compliant with all regulatory requirements. As defined by ICH guidelines, the CRF is a printed, optical, or electronic document designed to record all of the protocol-required information to be reported to the sponsor on each study subject.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272"/>
      </w:pPr>
      <w:r>
        <w:rPr>
          <w:rFonts w:ascii="Arial" w:hAnsi="Arial" w:cs="Arial" w:eastAsia="Arial"/>
        </w:rPr>
        <w:t>Data collection on the CRF must follow the instructions described in the CRF Completion Guidelines. The investigator has ultimate responsibility for the collection and reporting of all clinical data entered on the CRF. The investigator or designee as identified on Form FDA 1572 must sign the completed CRF to attest to its accuracy, authenticity, and completeness.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75"/>
      </w:pPr>
      <w:r>
        <w:rPr>
          <w:rFonts w:ascii="Arial" w:hAnsi="Arial" w:cs="Arial" w:eastAsia="Arial"/>
        </w:rPr>
        <w:t>Completed, original CRFs are the sole property of Eisai and should not be made available in any form to third parties without written permission from Eisai, except for authorized representatives of Eisai or appropriate regulatory authorities.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4"/>
        </w:numPr>
        <w:tabs>
          <w:tab w:pos="1199" w:val="left" w:leader="none"/>
          <w:tab w:pos="1200" w:val="left" w:leader="none"/>
        </w:tabs>
        <w:spacing w:line="240" w:lineRule="auto" w:before="0" w:after="0"/>
        <w:ind w:left="1200" w:right="0" w:hanging="960"/>
        <w:jc w:val="left"/>
        <w:rPr>
          <w:rFonts w:ascii="Arial"/>
          <w:sz w:val="24"/>
        </w:rPr>
      </w:pPr>
      <w:bookmarkStart w:name="9.6.2 Clinical Data Management" w:id="257"/>
      <w:bookmarkEnd w:id="257"/>
      <w:r>
        <w:rPr>
          <w:rFonts w:ascii="Arial" w:hAnsi="Arial" w:cs="Arial" w:eastAsia="Arial"/>
        </w:rPr>
      </w:r>
      <w:bookmarkStart w:name="_bookmark95" w:id="258"/>
      <w:bookmarkEnd w:id="258"/>
      <w:r>
        <w:rPr>
          <w:rFonts w:ascii="Arial" w:hAnsi="Arial" w:cs="Arial" w:eastAsia="Arial"/>
        </w:rPr>
      </w:r>
      <w:bookmarkStart w:name="_bookmark95" w:id="259"/>
      <w:bookmarkEnd w:id="259"/>
      <w:r>
        <w:rPr>
          <w:rFonts w:ascii="Arial" w:hAnsi="Arial" w:cs="Arial" w:eastAsia="Arial"/>
          <w:sz w:val="24"/>
        </w:rPr>
        <w:t>Clinical</w:t>
      </w:r>
      <w:r>
        <w:rPr>
          <w:rFonts w:ascii="Arial" w:hAnsi="Arial" w:cs="Arial" w:eastAsia="Arial"/>
          <w:sz w:val="24"/>
        </w:rPr>
        <w:t xml:space="preserve">  Data Management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87"/>
        <w:jc w:val="both"/>
      </w:pPr>
      <w:r>
        <w:rPr>
          <w:rFonts w:ascii="Arial" w:hAnsi="Arial" w:cs="Arial" w:eastAsia="Arial"/>
        </w:rPr>
        <w:t>All software applications used in the collection of data will be properly validated following standard computer system validation that is compliant with all regulatory requirements. All data, both CRF and external data (eg, laboratory data), will be entered into a clinical system.</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w:r>
        <w:cr/>
      </w:r>
    </w:p>
    <w:p>
      <w:pPr>
        <w:pStyle w:val="Heading3"/>
        <w:keepNext w:val="on"/>
        <w:ind w:left="2"/>
      </w:pPr>
      <w:r>
        <w:rPr>
          <w:rFonts w:ascii="Arial" w:hAnsi="Arial" w:cs="Arial" w:eastAsia="Arial"/>
          <w:b w:val="true"/>
          <w:sz w:val="24"/>
        </w:rPr>
        <w:t xml:space="preserve">  9.7 </w:t>
        <w:t>STATISTICAL METHODS PLANNED IN THE PROTOCOL &amp; DETERMINATION OF SAMPLE SIZE</w:t>
      </w:r>
      <w:bookmarkStart w:name="_STATISTICAL_METHODS_PLANNED_IN_THE_PROTOCOL_&amp;_DETERMINATION_OF_SAMPLE_SIZE" w:id="1286"/>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7"/>
        <w:ind w:left="240" w:right="272"/>
      </w:pPr>
      <w:r>
        <w:rPr>
          <w:rFonts w:ascii="Arial" w:hAnsi="Arial" w:cs="Arial" w:eastAsia="Arial"/>
        </w:rPr>
        <w:t>All statistical analyses will be performed by the sponsor or designee after the study is completed and the database is locked and released for unblinding. Statistical analyses will be performed using SAS software or other validated statistical software as required.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Descriptive statistics will be presented including mean and standard deviation of photosensitivity range for each subject at Screening and at each time point, for each Treatment visit day by treatment group. Graphical displays of the data for each subject will allow exploration of intersubject and intrasubject variability. Details of statistical methods and analyses will be included in a separate statistical analysis plan (SAP).</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4"/>
        </w:numPr>
        <w:tabs>
          <w:tab w:pos="1199" w:val="left" w:leader="none"/>
          <w:tab w:pos="1200" w:val="left" w:leader="none"/>
        </w:tabs>
        <w:spacing w:line="240" w:lineRule="auto" w:before="1" w:after="0"/>
        <w:ind w:left="1200" w:right="0" w:hanging="960"/>
        <w:jc w:val="left"/>
        <w:rPr>
          <w:rFonts w:ascii="Arial"/>
          <w:sz w:val="24"/>
        </w:rPr>
      </w:pPr>
      <w:bookmarkStart w:name="9.7.1 Statistical and Analytical Plans" w:id="263"/>
      <w:bookmarkEnd w:id="263"/>
      <w:r>
        <w:rPr>
          <w:rFonts w:ascii="Arial" w:hAnsi="Arial" w:cs="Arial" w:eastAsia="Arial"/>
        </w:rPr>
      </w:r>
      <w:bookmarkStart w:name="_bookmark97" w:id="264"/>
      <w:bookmarkEnd w:id="264"/>
      <w:r>
        <w:rPr>
          <w:rFonts w:ascii="Arial" w:hAnsi="Arial" w:cs="Arial" w:eastAsia="Arial"/>
        </w:rPr>
      </w:r>
      <w:bookmarkStart w:name="_bookmark97" w:id="265"/>
      <w:bookmarkEnd w:id="265"/>
      <w:r>
        <w:rPr>
          <w:rFonts w:ascii="Arial" w:hAnsi="Arial" w:cs="Arial" w:eastAsia="Arial"/>
          <w:sz w:val="24"/>
        </w:rPr>
        <w:t>Statistical</w:t>
      </w:r>
      <w:r>
        <w:rPr>
          <w:rFonts w:ascii="Arial" w:hAnsi="Arial" w:cs="Arial" w:eastAsia="Arial"/>
          <w:sz w:val="24"/>
        </w:rPr>
        <w:t xml:space="preserve">  and Analytical Plans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36"/>
      </w:pPr>
      <w:r>
        <w:rPr>
          <w:rFonts w:ascii="Arial" w:hAnsi="Arial" w:cs="Arial" w:eastAsia="Arial"/>
        </w:rPr>
        <w:t>The statistical analyses of study data are described in this section. Further details of the analytical plan will be provided in the SAP, which will be finalized before database lock and treatment unblinding.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85" w:after="0"/>
        <w:ind w:left="1440" w:right="0" w:hanging="1200"/>
        <w:jc w:val="left"/>
        <w:rPr>
          <w:rFonts w:ascii="Arial"/>
          <w:sz w:val="22"/>
        </w:rPr>
      </w:pPr>
      <w:bookmarkStart w:name="9.7.1.1 Study Endpoints" w:id="266"/>
      <w:bookmarkEnd w:id="266"/>
      <w:r>
        <w:rPr>
          <w:rFonts w:ascii="Arial" w:hAnsi="Arial" w:cs="Arial" w:eastAsia="Arial"/>
        </w:rPr>
      </w:r>
      <w:bookmarkStart w:name="_bookmark98" w:id="267"/>
      <w:bookmarkEnd w:id="267"/>
      <w:r>
        <w:rPr>
          <w:rFonts w:ascii="Arial" w:hAnsi="Arial" w:cs="Arial" w:eastAsia="Arial"/>
        </w:rPr>
      </w:r>
      <w:bookmarkStart w:name="_bookmark98" w:id="268"/>
      <w:bookmarkEnd w:id="268"/>
      <w:r>
        <w:rPr>
          <w:rFonts w:ascii="Arial" w:hAnsi="Arial" w:cs="Arial" w:eastAsia="Arial"/>
          <w:sz w:val="22"/>
        </w:rPr>
        <w:t>Stud</w:t>
      </w:r>
      <w:r>
        <w:rPr>
          <w:rFonts w:ascii="Arial" w:hAnsi="Arial" w:cs="Arial" w:eastAsia="Arial"/>
          <w:sz w:val="22"/>
        </w:rPr>
        <w:t>y</w:t>
      </w:r>
      <w:r>
        <w:rPr>
          <w:rFonts w:ascii="Arial" w:hAnsi="Arial" w:cs="Arial" w:eastAsia="Arial"/>
          <w:spacing w:val="-2"/>
          <w:sz w:val="22"/>
        </w:rPr>
        <w:t xml:space="preserve">  </w:t>
      </w:r>
      <w:r>
        <w:rPr>
          <w:rFonts w:ascii="Arial" w:hAnsi="Arial" w:cs="Arial" w:eastAsia="Arial"/>
          <w:sz w:val="22"/>
        </w:rPr>
        <w:t xml:space="preserve">  Endpoints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423"/>
      </w:pPr>
      <w:r>
        <w:rPr>
          <w:rFonts w:ascii="Arial" w:hAnsi="Arial" w:cs="Arial" w:eastAsia="Arial"/>
        </w:rPr>
        <w:t>The reduction in PPR response will be evaluated for 8 hours postdose for the entire time period. A diminution in response is anticipated with the dose range. A statistical difference of treatment doses versus placebo will be evaluated.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416"/>
      </w:pPr>
      <w:r>
        <w:rPr>
          <w:rFonts w:ascii="Arial" w:hAnsi="Arial" w:cs="Arial" w:eastAsia="Arial"/>
        </w:rPr>
        <w:t>The primary endpoint, the change in the PPR range, is evaluated using mixed effects model for comparing low and high treatment doses versus placebo. Another endpoint will include proportions of subjects responding to treatment versus placebo. Most patients have strong responses to effective treatments compared to placebo, which can be evaluated by graphs of partial response (ie, 3 steps narrowing) and abolition of PPR.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5"/>
        </w:numPr>
        <w:tabs>
          <w:tab w:pos="1435" w:val="left" w:leader="none"/>
          <w:tab w:pos="1436" w:val="left" w:leader="none"/>
        </w:tabs>
        <w:spacing w:line="240" w:lineRule="auto" w:before="0" w:after="0"/>
        <w:ind w:left="1435" w:right="0" w:hanging="1196"/>
        <w:jc w:val="left"/>
        <w:rPr>
          <w:rFonts w:ascii="Arial"/>
          <w:sz w:val="18"/>
        </w:rPr>
      </w:pPr>
      <w:bookmarkStart w:name="_bookmark99" w:id="269"/>
      <w:bookmarkEnd w:id="269"/>
      <w:r>
        <w:rPr>
          <w:rFonts w:ascii="Arial" w:hAnsi="Arial" w:cs="Arial" w:eastAsia="Arial"/>
        </w:rPr>
      </w:r>
      <w:bookmarkStart w:name="_bookmark99" w:id="270"/>
      <w:bookmarkEnd w:id="270"/>
      <w:r>
        <w:rPr>
          <w:rFonts w:ascii="Arial" w:hAnsi="Arial" w:cs="Arial" w:eastAsia="Arial"/>
          <w:sz w:val="22"/>
        </w:rPr>
        <w:t>P</w:t>
      </w:r>
      <w:r>
        <w:rPr>
          <w:rFonts w:ascii="Arial" w:hAnsi="Arial" w:cs="Arial" w:eastAsia="Arial"/>
          <w:sz w:val="18"/>
        </w:rPr>
        <w:t>RIMARY</w:t>
      </w:r>
      <w:r>
        <w:rPr>
          <w:rFonts w:ascii="Arial" w:hAnsi="Arial" w:cs="Arial" w:eastAsia="Arial"/>
          <w:spacing w:val="-1"/>
          <w:sz w:val="18"/>
        </w:rPr>
        <w:t xml:space="preserve">  </w:t>
      </w:r>
      <w:r>
        <w:rPr>
          <w:rFonts w:ascii="Arial" w:hAnsi="Arial" w:cs="Arial" w:eastAsia="Arial"/>
          <w:sz w:val="22"/>
        </w:rPr>
        <w:t xml:space="preserve">  E</w:t>
      </w:r>
      <w:r>
        <w:rPr>
          <w:rFonts w:ascii="Arial" w:hAnsi="Arial" w:cs="Arial" w:eastAsia="Arial"/>
          <w:sz w:val="18"/>
        </w:rPr>
        <w:t>NDPOINT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708"/>
      </w:pPr>
      <w:r>
        <w:rPr>
          <w:rFonts w:ascii="Arial" w:hAnsi="Arial" w:cs="Arial" w:eastAsia="Arial"/>
        </w:rPr>
        <w:t>The primary endpoint of this study is the mean change from baseline in the PPR range in each subject’s most sensitive eye condition at each dose level of E2730 as compared to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5"/>
        </w:numPr>
        <w:tabs>
          <w:tab w:pos="1435" w:val="left" w:leader="none"/>
          <w:tab w:pos="1436" w:val="left" w:leader="none"/>
        </w:tabs>
        <w:spacing w:line="240" w:lineRule="auto" w:before="0" w:after="0"/>
        <w:ind w:left="1435" w:right="0" w:hanging="1196"/>
        <w:jc w:val="left"/>
        <w:rPr>
          <w:rFonts w:ascii="Arial"/>
          <w:sz w:val="18"/>
        </w:rPr>
      </w:pPr>
      <w:bookmarkStart w:name="_bookmark100" w:id="271"/>
      <w:bookmarkEnd w:id="271"/>
      <w:r>
        <w:rPr>
          <w:rFonts w:ascii="Arial" w:hAnsi="Arial" w:cs="Arial" w:eastAsia="Arial"/>
        </w:rPr>
      </w:r>
      <w:bookmarkStart w:name="_bookmark100" w:id="272"/>
      <w:bookmarkEnd w:id="272"/>
      <w:r>
        <w:rPr>
          <w:rFonts w:ascii="Arial" w:hAnsi="Arial" w:cs="Arial" w:eastAsia="Arial"/>
          <w:sz w:val="22"/>
        </w:rPr>
        <w:t>S</w:t>
      </w:r>
      <w:r>
        <w:rPr>
          <w:rFonts w:ascii="Arial" w:hAnsi="Arial" w:cs="Arial" w:eastAsia="Arial"/>
          <w:sz w:val="18"/>
        </w:rPr>
        <w:t>ECONDARY</w:t>
      </w:r>
      <w:r>
        <w:rPr>
          <w:rFonts w:ascii="Arial" w:hAnsi="Arial" w:cs="Arial" w:eastAsia="Arial"/>
          <w:spacing w:val="-2"/>
          <w:sz w:val="18"/>
        </w:rPr>
        <w:t xml:space="preserve">  </w:t>
      </w:r>
      <w:r>
        <w:rPr>
          <w:rFonts w:ascii="Arial" w:hAnsi="Arial" w:cs="Arial" w:eastAsia="Arial"/>
          <w:sz w:val="22"/>
        </w:rPr>
        <w:t xml:space="preserve">  E</w:t>
      </w:r>
      <w:r>
        <w:rPr>
          <w:rFonts w:ascii="Arial" w:hAnsi="Arial" w:cs="Arial" w:eastAsia="Arial"/>
          <w:sz w:val="18"/>
        </w:rPr>
        <w:t>NDPOINTS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0" w:after="0"/>
        <w:ind w:left="597" w:right="643" w:hanging="358"/>
        <w:jc w:val="left"/>
        <w:rPr>
          <w:sz w:val="24"/>
        </w:rPr>
      </w:pPr>
      <w:r>
        <w:rPr>
          <w:rFonts w:ascii="Arial" w:hAnsi="Arial" w:cs="Arial" w:eastAsia="Arial"/>
          <w:sz w:val="24"/>
        </w:rPr>
        <w:t>Mean changes from baseline in PPR ranges in each subject’s eye closure, eyes closed, and eyes open condition at each dose level of E2730 as compared to</w:t>
      </w:r>
      <w:r>
        <w:rPr>
          <w:rFonts w:ascii="Arial" w:hAnsi="Arial" w:cs="Arial" w:eastAsia="Arial"/>
          <w:spacing w:val="-2"/>
          <w:sz w:val="24"/>
        </w:rPr>
        <w:t xml:space="preserve">  </w:t>
      </w:r>
      <w:r>
        <w:rPr>
          <w:rFonts w:ascii="Arial" w:hAnsi="Arial" w:cs="Arial" w:eastAsia="Arial"/>
          <w:sz w:val="24"/>
        </w:rPr>
        <w:t xml:space="preserve">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0" w:after="0"/>
        <w:ind w:left="597" w:right="423" w:hanging="358"/>
        <w:jc w:val="left"/>
        <w:rPr>
          <w:sz w:val="24"/>
        </w:rPr>
      </w:pPr>
      <w:r>
        <w:rPr>
          <w:rFonts w:ascii="Arial" w:hAnsi="Arial" w:cs="Arial" w:eastAsia="Arial"/>
          <w:sz w:val="24"/>
        </w:rPr>
        <w:t>Onset, maximum change, and duration of photosensitivity response at each dose level in all 3 eye conditions at the time course of E2730 as compared to</w:t>
      </w:r>
      <w:r>
        <w:rPr>
          <w:rFonts w:ascii="Arial" w:hAnsi="Arial" w:cs="Arial" w:eastAsia="Arial"/>
          <w:spacing w:val="-5"/>
          <w:sz w:val="24"/>
        </w:rPr>
        <w:t xml:space="preserve">  </w:t>
      </w:r>
      <w:r>
        <w:rPr>
          <w:rFonts w:ascii="Arial" w:hAnsi="Arial" w:cs="Arial" w:eastAsia="Arial"/>
          <w:sz w:val="24"/>
        </w:rPr>
        <w:t xml:space="preserve">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0" w:after="0"/>
        <w:ind w:left="597" w:right="385" w:hanging="358"/>
        <w:jc w:val="left"/>
        <w:rPr>
          <w:sz w:val="24"/>
        </w:rPr>
      </w:pPr>
      <w:r>
        <w:rPr>
          <w:rFonts w:ascii="Arial" w:hAnsi="Arial" w:cs="Arial" w:eastAsia="Arial"/>
          <w:sz w:val="24"/>
        </w:rPr>
        <w:t>Frequency and percentage of subjects with Complete Suppression, Partial Response,</w:t>
      </w:r>
      <w:r>
        <w:rPr>
          <w:rFonts w:ascii="Arial" w:hAnsi="Arial" w:cs="Arial" w:eastAsia="Arial"/>
          <w:spacing w:val="-35"/>
          <w:sz w:val="24"/>
        </w:rPr>
        <w:t xml:space="preserve">  </w:t>
      </w:r>
      <w:r>
        <w:rPr>
          <w:rFonts w:ascii="Arial" w:hAnsi="Arial" w:cs="Arial" w:eastAsia="Arial"/>
          <w:sz w:val="24"/>
        </w:rPr>
        <w:t xml:space="preserve">  and no Response of PPR at each dose level of E2730 as compared to</w:t>
      </w:r>
      <w:r>
        <w:rPr>
          <w:rFonts w:ascii="Arial" w:hAnsi="Arial" w:cs="Arial" w:eastAsia="Arial"/>
          <w:spacing w:val="-14"/>
          <w:sz w:val="24"/>
        </w:rPr>
        <w:t xml:space="preserve">  </w:t>
      </w:r>
      <w:r>
        <w:rPr>
          <w:rFonts w:ascii="Arial" w:hAnsi="Arial" w:cs="Arial" w:eastAsia="Arial"/>
          <w:sz w:val="24"/>
        </w:rPr>
        <w:t xml:space="preserve">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1" w:after="0"/>
        <w:ind w:left="597" w:right="876" w:hanging="358"/>
        <w:jc w:val="left"/>
        <w:rPr>
          <w:sz w:val="24"/>
        </w:rPr>
      </w:pPr>
      <w:r>
        <w:rPr>
          <w:rFonts w:ascii="Arial" w:hAnsi="Arial" w:cs="Arial" w:eastAsia="Arial"/>
          <w:sz w:val="24"/>
        </w:rPr>
        <w:t>Occurrence of AEs or changes in the neurological examination after single doses of E2730 compared to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1" w:after="0"/>
        <w:ind w:left="597" w:right="466" w:hanging="358"/>
        <w:jc w:val="left"/>
        <w:rPr>
          <w:sz w:val="24"/>
        </w:rPr>
      </w:pPr>
      <w:r>
        <w:rPr>
          <w:rFonts w:ascii="Arial" w:hAnsi="Arial" w:cs="Arial" w:eastAsia="Arial"/>
          <w:sz w:val="24"/>
        </w:rPr>
        <w:t>Changes in vital signs, serum chemistries, complete blood counts, or liver function tests after single doses of E2730 compared to</w:t>
      </w:r>
      <w:r>
        <w:rPr>
          <w:rFonts w:ascii="Arial" w:hAnsi="Arial" w:cs="Arial" w:eastAsia="Arial"/>
          <w:spacing w:val="-5"/>
          <w:sz w:val="24"/>
        </w:rPr>
        <w:t xml:space="preserve">  </w:t>
      </w:r>
      <w:r>
        <w:rPr>
          <w:rFonts w:ascii="Arial" w:hAnsi="Arial" w:cs="Arial" w:eastAsia="Arial"/>
          <w:sz w:val="24"/>
        </w:rPr>
        <w:t xml:space="preserve">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1" w:after="0"/>
        <w:ind w:left="597" w:right="0" w:hanging="358"/>
        <w:jc w:val="left"/>
        <w:rPr>
          <w:sz w:val="24"/>
        </w:rPr>
      </w:pPr>
      <w:r>
        <w:rPr>
          <w:rFonts w:ascii="Arial" w:hAnsi="Arial" w:cs="Arial" w:eastAsia="Arial"/>
          <w:sz w:val="24"/>
        </w:rPr>
        <w:t>PK of E2730 and its N-acetyl metabolite,</w:t>
      </w:r>
      <w:r>
        <w:rPr>
          <w:rFonts w:ascii="Arial" w:hAnsi="Arial" w:cs="Arial" w:eastAsia="Arial"/>
          <w:spacing w:val="-2"/>
          <w:sz w:val="24"/>
        </w:rPr>
        <w:t xml:space="preserve">  </w:t>
      </w:r>
      <w:r>
        <w:rPr>
          <w:rFonts w:ascii="Arial" w:hAnsi="Arial" w:cs="Arial" w:eastAsia="Arial"/>
          <w:sz w:val="24"/>
        </w:rPr>
        <w:t xml:space="preserve">  M1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0" w:after="0"/>
        <w:ind w:left="597" w:right="416" w:hanging="358"/>
        <w:jc w:val="left"/>
        <w:rPr>
          <w:sz w:val="24"/>
        </w:rPr>
      </w:pPr>
      <w:r>
        <w:rPr>
          <w:rFonts w:ascii="Arial" w:hAnsi="Arial" w:cs="Arial" w:eastAsia="Arial"/>
          <w:sz w:val="24"/>
        </w:rPr>
        <w:t>Relationship between PK parameters of E2730 onset, maximum change, and duration of impact on photosensitivity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0" w:hanging="1200"/>
        <w:jc w:val="left"/>
        <w:rPr>
          <w:rFonts w:ascii="Arial"/>
          <w:sz w:val="22"/>
        </w:rPr>
      </w:pPr>
      <w:bookmarkStart w:name="9.7.1.2 Definitions of Analysis Sets" w:id="273"/>
      <w:bookmarkEnd w:id="273"/>
      <w:r>
        <w:rPr>
          <w:rFonts w:ascii="Arial" w:hAnsi="Arial" w:cs="Arial" w:eastAsia="Arial"/>
        </w:rPr>
      </w:r>
      <w:bookmarkStart w:name="_bookmark101" w:id="274"/>
      <w:bookmarkEnd w:id="274"/>
      <w:r>
        <w:rPr>
          <w:rFonts w:ascii="Arial" w:hAnsi="Arial" w:cs="Arial" w:eastAsia="Arial"/>
        </w:rPr>
      </w:r>
      <w:bookmarkStart w:name="_bookmark101" w:id="275"/>
      <w:bookmarkEnd w:id="275"/>
      <w:r>
        <w:rPr>
          <w:rFonts w:ascii="Arial" w:hAnsi="Arial" w:cs="Arial" w:eastAsia="Arial"/>
          <w:sz w:val="22"/>
        </w:rPr>
        <w:t>Definition</w:t>
      </w:r>
      <w:r>
        <w:rPr>
          <w:rFonts w:ascii="Arial" w:hAnsi="Arial" w:cs="Arial" w:eastAsia="Arial"/>
          <w:sz w:val="22"/>
        </w:rPr>
        <w:t>s of Analysis</w:t>
      </w:r>
      <w:r>
        <w:rPr>
          <w:rFonts w:ascii="Arial" w:hAnsi="Arial" w:cs="Arial" w:eastAsia="Arial"/>
          <w:spacing w:val="-4"/>
          <w:sz w:val="22"/>
        </w:rPr>
        <w:t xml:space="preserve">  </w:t>
      </w:r>
      <w:r>
        <w:rPr>
          <w:rFonts w:ascii="Arial" w:hAnsi="Arial" w:cs="Arial" w:eastAsia="Arial"/>
          <w:sz w:val="22"/>
        </w:rPr>
        <w:t xml:space="preserve">  Sets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255"/>
      </w:pPr>
      <w:r>
        <w:rPr>
          <w:rFonts w:ascii="Arial" w:hAnsi="Arial" w:cs="Arial" w:eastAsia="Arial"/>
        </w:rPr>
        <w:t>The Safety Analysis Set is the group of subjects who receive at least 1 dose of study drug and have at least 1 postdose safety assessment.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489"/>
      </w:pPr>
      <w:r>
        <w:rPr>
          <w:rFonts w:ascii="Arial" w:hAnsi="Arial" w:cs="Arial" w:eastAsia="Arial"/>
        </w:rPr>
        <w:t>The Pharmacokinetic Analysis Set is the group of randomized subjects who receive at least 1 dose of study drug and have sufficient PK data to derive at least 1 PK parameter.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315"/>
      </w:pPr>
      <w:r>
        <w:rPr>
          <w:rFonts w:ascii="Arial" w:hAnsi="Arial" w:cs="Arial" w:eastAsia="Arial"/>
        </w:rPr>
        <w:t>The Pharmacodynamic Analysis Set is the group of randomized subjects who receive at least 1 dose of study drug and have sufficient PD data to derive at least 1 PD parameter.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0" w:hanging="1200"/>
        <w:jc w:val="left"/>
        <w:rPr>
          <w:rFonts w:ascii="Arial"/>
          <w:sz w:val="22"/>
        </w:rPr>
      </w:pPr>
      <w:bookmarkStart w:name="9.7.1.3 Subject Disposition" w:id="276"/>
      <w:bookmarkEnd w:id="276"/>
      <w:r>
        <w:rPr>
          <w:rFonts w:ascii="Arial" w:hAnsi="Arial" w:cs="Arial" w:eastAsia="Arial"/>
        </w:rPr>
      </w:r>
      <w:bookmarkStart w:name="_bookmark102" w:id="277"/>
      <w:bookmarkEnd w:id="277"/>
      <w:r>
        <w:rPr>
          <w:rFonts w:ascii="Arial" w:hAnsi="Arial" w:cs="Arial" w:eastAsia="Arial"/>
        </w:rPr>
      </w:r>
      <w:bookmarkStart w:name="_bookmark102" w:id="278"/>
      <w:bookmarkEnd w:id="278"/>
      <w:r>
        <w:rPr>
          <w:rFonts w:ascii="Arial" w:hAnsi="Arial" w:cs="Arial" w:eastAsia="Arial"/>
          <w:sz w:val="22"/>
        </w:rPr>
        <w:t>Subjec</w:t>
      </w:r>
      <w:r>
        <w:rPr>
          <w:rFonts w:ascii="Arial" w:hAnsi="Arial" w:cs="Arial" w:eastAsia="Arial"/>
          <w:sz w:val="22"/>
        </w:rPr>
        <w:t>t</w:t>
      </w:r>
      <w:r>
        <w:rPr>
          <w:rFonts w:ascii="Arial" w:hAnsi="Arial" w:cs="Arial" w:eastAsia="Arial"/>
          <w:spacing w:val="-2"/>
          <w:sz w:val="22"/>
        </w:rPr>
        <w:t xml:space="preserve">  </w:t>
      </w:r>
      <w:r>
        <w:rPr>
          <w:rFonts w:ascii="Arial" w:hAnsi="Arial" w:cs="Arial" w:eastAsia="Arial"/>
          <w:sz w:val="22"/>
        </w:rPr>
        <w:t xml:space="preserve">  Disposition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The number of subjects screened and the number failing screening (overall and by reason for failure) will be summarized. Screen failure data will be listed. The number of subjects randomized along with the number of subjects administered each dose of E2730 will also be presented.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562"/>
      </w:pPr>
      <w:r>
        <w:rPr>
          <w:rFonts w:ascii="Arial" w:hAnsi="Arial" w:cs="Arial" w:eastAsia="Arial"/>
        </w:rPr>
        <w:t>Subjects who prematurely terminate their participation in the study will be summarized by their primary reason for study termination.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0" w:hanging="1200"/>
        <w:jc w:val="left"/>
        <w:rPr>
          <w:rFonts w:ascii="Arial"/>
          <w:sz w:val="22"/>
        </w:rPr>
      </w:pPr>
      <w:bookmarkStart w:name="9.7.1.4 Demographic and Other Baseline C" w:id="279"/>
      <w:bookmarkEnd w:id="279"/>
      <w:r>
        <w:rPr>
          <w:rFonts w:ascii="Arial" w:hAnsi="Arial" w:cs="Arial" w:eastAsia="Arial"/>
        </w:rPr>
      </w:r>
      <w:bookmarkStart w:name="_bookmark103" w:id="280"/>
      <w:bookmarkEnd w:id="280"/>
      <w:r>
        <w:rPr>
          <w:rFonts w:ascii="Arial" w:hAnsi="Arial" w:cs="Arial" w:eastAsia="Arial"/>
        </w:rPr>
      </w:r>
      <w:bookmarkStart w:name="_bookmark103" w:id="281"/>
      <w:bookmarkEnd w:id="281"/>
      <w:r>
        <w:rPr>
          <w:rFonts w:ascii="Arial" w:hAnsi="Arial" w:cs="Arial" w:eastAsia="Arial"/>
          <w:sz w:val="22"/>
        </w:rPr>
        <w:t>Demographi</w:t>
      </w:r>
      <w:r>
        <w:rPr>
          <w:rFonts w:ascii="Arial" w:hAnsi="Arial" w:cs="Arial" w:eastAsia="Arial"/>
          <w:sz w:val="22"/>
        </w:rPr>
        <w:t>c and Other Baseline</w:t>
      </w:r>
      <w:r>
        <w:rPr>
          <w:rFonts w:ascii="Arial" w:hAnsi="Arial" w:cs="Arial" w:eastAsia="Arial"/>
          <w:spacing w:val="-6"/>
          <w:sz w:val="22"/>
        </w:rPr>
        <w:t xml:space="preserve">  </w:t>
      </w:r>
      <w:r>
        <w:rPr>
          <w:rFonts w:ascii="Arial" w:hAnsi="Arial" w:cs="Arial" w:eastAsia="Arial"/>
          <w:sz w:val="22"/>
        </w:rPr>
        <w:t xml:space="preserve">  Characteristics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Demographic and other baseline characteristics for the Safety Analysis Set will be summarized by dose group for each part of the study using descriptive statistics. Continuous demographic and baseline variables include age, height, and weight; categorical variables include sex, age group, and race.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1" w:after="0"/>
        <w:ind w:left="1440" w:right="0" w:hanging="1200"/>
        <w:jc w:val="left"/>
        <w:rPr>
          <w:rFonts w:ascii="Arial"/>
          <w:sz w:val="22"/>
        </w:rPr>
      </w:pPr>
      <w:bookmarkStart w:name="9.7.1.5 Prior and Concomitant Therapy" w:id="282"/>
      <w:bookmarkEnd w:id="282"/>
      <w:r>
        <w:rPr>
          <w:rFonts w:ascii="Arial" w:hAnsi="Arial" w:cs="Arial" w:eastAsia="Arial"/>
        </w:rPr>
      </w:r>
      <w:bookmarkStart w:name="_bookmark104" w:id="283"/>
      <w:bookmarkEnd w:id="283"/>
      <w:r>
        <w:rPr>
          <w:rFonts w:ascii="Arial" w:hAnsi="Arial" w:cs="Arial" w:eastAsia="Arial"/>
        </w:rPr>
      </w:r>
      <w:bookmarkStart w:name="_bookmark104" w:id="284"/>
      <w:bookmarkEnd w:id="284"/>
      <w:r>
        <w:rPr>
          <w:rFonts w:ascii="Arial" w:hAnsi="Arial" w:cs="Arial" w:eastAsia="Arial"/>
          <w:sz w:val="22"/>
        </w:rPr>
        <w:t>Prio</w:t>
      </w:r>
      <w:r>
        <w:rPr>
          <w:rFonts w:ascii="Arial" w:hAnsi="Arial" w:cs="Arial" w:eastAsia="Arial"/>
          <w:sz w:val="22"/>
        </w:rPr>
        <w:t>r and Concomitant</w:t>
      </w:r>
      <w:r>
        <w:rPr>
          <w:rFonts w:ascii="Arial" w:hAnsi="Arial" w:cs="Arial" w:eastAsia="Arial"/>
          <w:spacing w:val="-4"/>
          <w:sz w:val="22"/>
        </w:rPr>
        <w:t xml:space="preserve">  </w:t>
      </w:r>
      <w:r>
        <w:rPr>
          <w:rFonts w:ascii="Arial" w:hAnsi="Arial" w:cs="Arial" w:eastAsia="Arial"/>
          <w:sz w:val="22"/>
        </w:rPr>
        <w:t xml:space="preserve">  Therapy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55"/>
      </w:pPr>
      <w:r>
        <w:rPr>
          <w:rFonts w:ascii="Arial" w:hAnsi="Arial" w:cs="Arial" w:eastAsia="Arial"/>
        </w:rPr>
        <w:t>All investigator terms for medications recorded in the CRF will be coded to an 11-digit code using the World Health Organization Drug Dictionary. The number (percentage) of subjects who took prior and concomitant medications will be summarized by treatment group, Anatomical Therapeutic Chemical (ATC) class, and World Health Organization Drug Dictionary preferred term (PT). Prior medications will be defined as medications that stopped before the dose of study drug. Concomitant medications will be defined as medications that started after the date of the dose of study drug up to 28 days after the subject’s dose. All medications will be presented in subject data listings.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0" w:hanging="1200"/>
        <w:jc w:val="left"/>
        <w:rPr>
          <w:rFonts w:ascii="Arial"/>
          <w:sz w:val="22"/>
        </w:rPr>
      </w:pPr>
      <w:bookmarkStart w:name="9.7.1.6 Efficacy Analyses" w:id="285"/>
      <w:bookmarkEnd w:id="285"/>
      <w:r>
        <w:rPr>
          <w:rFonts w:ascii="Arial" w:hAnsi="Arial" w:cs="Arial" w:eastAsia="Arial"/>
        </w:rPr>
      </w:r>
      <w:bookmarkStart w:name="_bookmark105" w:id="286"/>
      <w:bookmarkEnd w:id="286"/>
      <w:r>
        <w:rPr>
          <w:rFonts w:ascii="Arial" w:hAnsi="Arial" w:cs="Arial" w:eastAsia="Arial"/>
        </w:rPr>
      </w:r>
      <w:bookmarkStart w:name="_bookmark105" w:id="287"/>
      <w:bookmarkEnd w:id="287"/>
      <w:r>
        <w:rPr>
          <w:rFonts w:ascii="Arial" w:hAnsi="Arial" w:cs="Arial" w:eastAsia="Arial"/>
          <w:sz w:val="22"/>
        </w:rPr>
        <w:t>Efficac</w:t>
      </w:r>
      <w:r>
        <w:rPr>
          <w:rFonts w:ascii="Arial" w:hAnsi="Arial" w:cs="Arial" w:eastAsia="Arial"/>
          <w:sz w:val="22"/>
        </w:rPr>
        <w:t>y</w:t>
      </w:r>
      <w:r>
        <w:rPr>
          <w:rFonts w:ascii="Arial" w:hAnsi="Arial" w:cs="Arial" w:eastAsia="Arial"/>
          <w:spacing w:val="-2"/>
          <w:sz w:val="22"/>
        </w:rPr>
        <w:t xml:space="preserve">  </w:t>
      </w:r>
      <w:r>
        <w:rPr>
          <w:rFonts w:ascii="Arial" w:hAnsi="Arial" w:cs="Arial" w:eastAsia="Arial"/>
          <w:sz w:val="22"/>
        </w:rPr>
        <w:t xml:space="preserve">  Analyses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pPr>
      <w:r>
        <w:rPr>
          <w:rFonts w:ascii="Arial" w:hAnsi="Arial" w:cs="Arial" w:eastAsia="Arial"/>
        </w:rPr>
        <w:t>Not applicable.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257" w:hanging="1200"/>
        <w:jc w:val="left"/>
        <w:rPr>
          <w:rFonts w:ascii="Arial"/>
          <w:sz w:val="22"/>
        </w:rPr>
      </w:pPr>
      <w:bookmarkStart w:name="9.7.1.7 Pharmacokinetic, Pharmacodynamic" w:id="288"/>
      <w:bookmarkEnd w:id="288"/>
      <w:r>
        <w:rPr>
          <w:rFonts w:ascii="Arial" w:hAnsi="Arial" w:cs="Arial" w:eastAsia="Arial"/>
        </w:rPr>
      </w:r>
      <w:bookmarkStart w:name="_bookmark106" w:id="289"/>
      <w:bookmarkEnd w:id="289"/>
      <w:r>
        <w:rPr>
          <w:rFonts w:ascii="Arial" w:hAnsi="Arial" w:cs="Arial" w:eastAsia="Arial"/>
        </w:rPr>
      </w:r>
      <w:bookmarkStart w:name="_bookmark106" w:id="290"/>
      <w:bookmarkEnd w:id="290"/>
      <w:r>
        <w:rPr>
          <w:rFonts w:ascii="Arial" w:hAnsi="Arial" w:cs="Arial" w:eastAsia="Arial"/>
          <w:sz w:val="22"/>
        </w:rPr>
        <w:t>Pharmacokinetic</w:t>
      </w:r>
      <w:r>
        <w:rPr>
          <w:rFonts w:ascii="Arial" w:hAnsi="Arial" w:cs="Arial" w:eastAsia="Arial"/>
          <w:sz w:val="22"/>
        </w:rPr>
        <w:t>, Pharmacodynamic, Pharmacogenomic, and Other Biomarker Analyses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7"/>
        </w:numPr>
        <w:tabs>
          <w:tab w:pos="1435" w:val="left" w:leader="none"/>
          <w:tab w:pos="1436" w:val="left" w:leader="none"/>
        </w:tabs>
        <w:spacing w:line="240" w:lineRule="auto" w:before="0" w:after="0"/>
        <w:ind w:left="1435" w:right="0" w:hanging="1196"/>
        <w:jc w:val="left"/>
        <w:rPr>
          <w:rFonts w:ascii="Arial"/>
          <w:sz w:val="18"/>
        </w:rPr>
      </w:pPr>
      <w:bookmarkStart w:name="_bookmark107" w:id="291"/>
      <w:bookmarkEnd w:id="291"/>
      <w:r>
        <w:rPr>
          <w:rFonts w:ascii="Arial" w:hAnsi="Arial" w:cs="Arial" w:eastAsia="Arial"/>
        </w:rPr>
      </w:r>
      <w:bookmarkStart w:name="_bookmark107" w:id="292"/>
      <w:bookmarkEnd w:id="292"/>
      <w:r>
        <w:rPr>
          <w:rFonts w:ascii="Arial" w:hAnsi="Arial" w:cs="Arial" w:eastAsia="Arial"/>
          <w:sz w:val="22"/>
        </w:rPr>
        <w:t>P</w:t>
      </w:r>
      <w:r>
        <w:rPr>
          <w:rFonts w:ascii="Arial" w:hAnsi="Arial" w:cs="Arial" w:eastAsia="Arial"/>
          <w:sz w:val="18"/>
        </w:rPr>
        <w:t>HARMACOKINETIC</w:t>
      </w:r>
      <w:r>
        <w:rPr>
          <w:rFonts w:ascii="Arial" w:hAnsi="Arial" w:cs="Arial" w:eastAsia="Arial"/>
          <w:spacing w:val="-1"/>
          <w:sz w:val="18"/>
        </w:rPr>
        <w:t xml:space="preserve">  </w:t>
      </w:r>
      <w:r>
        <w:rPr>
          <w:rFonts w:ascii="Arial" w:hAnsi="Arial" w:cs="Arial" w:eastAsia="Arial"/>
          <w:sz w:val="22"/>
        </w:rPr>
        <w:t xml:space="preserve">  A</w:t>
      </w:r>
      <w:r>
        <w:rPr>
          <w:rFonts w:ascii="Arial" w:hAnsi="Arial" w:cs="Arial" w:eastAsia="Arial"/>
          <w:sz w:val="18"/>
        </w:rPr>
        <w:t>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The PK Analysis Set will be used for listings of individual E2730 and M1 plasma concentrations, summaries and listings of PK parameters. Plasma concentrations will be tabulated by nominal sampling time and summarized by treatment dose using summary statistics.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582"/>
      </w:pPr>
      <w:r>
        <w:rPr>
          <w:rFonts w:ascii="Arial" w:hAnsi="Arial" w:cs="Arial" w:eastAsia="Arial"/>
        </w:rPr>
        <w:t>The following PK parameters will be derived by noncompartmental analysis using plasma concentrations of E2730 and M1. These parameters will include, but are not limited to: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7"/>
        </w:numPr>
        <w:tabs>
          <w:tab w:pos="959" w:val="left" w:leader="none"/>
          <w:tab w:pos="960" w:val="left" w:leader="none"/>
          <w:tab w:pos="2039" w:val="left" w:leader="none"/>
        </w:tabs>
        <w:spacing w:line="240" w:lineRule="auto" w:before="80" w:after="0"/>
        <w:ind w:left="960" w:right="0" w:hanging="360"/>
        <w:jc w:val="left"/>
        <w:rPr>
          <w:sz w:val="24"/>
        </w:rPr>
      </w:pPr>
      <w:r>
        <w:rPr>
          <w:rFonts w:ascii="Arial" w:hAnsi="Arial" w:cs="Arial" w:eastAsia="Arial"/>
          <w:sz w:val="24"/>
        </w:rPr>
        <w:t>C</w:t>
      </w:r>
      <w:r>
        <w:rPr>
          <w:rFonts w:ascii="Arial" w:hAnsi="Arial" w:cs="Arial" w:eastAsia="Arial"/>
          <w:sz w:val="24"/>
          <w:vertAlign w:val="subscript"/>
        </w:rPr>
        <w:t>max</w:t>
      </w:r>
      <w:r>
        <w:rPr>
          <w:rFonts w:ascii="Arial" w:hAnsi="Arial" w:cs="Arial" w:eastAsia="Arial"/>
          <w:sz w:val="24"/>
          <w:vertAlign w:val="baseline"/>
        </w:rPr>
        <w:tab/>
        <w:t>maximum observed</w:t>
      </w:r>
      <w:r>
        <w:rPr>
          <w:rFonts w:ascii="Arial" w:hAnsi="Arial" w:cs="Arial" w:eastAsia="Arial"/>
          <w:spacing w:val="-2"/>
          <w:sz w:val="24"/>
          <w:vertAlign w:val="baseline"/>
        </w:rPr>
        <w:t xml:space="preserve">  </w:t>
      </w:r>
      <w:r>
        <w:rPr>
          <w:rFonts w:ascii="Arial" w:hAnsi="Arial" w:cs="Arial" w:eastAsia="Arial"/>
          <w:sz w:val="24"/>
          <w:vertAlign w:val="baseline"/>
        </w:rPr>
        <w:t xml:space="preserve">  concentration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7"/>
        </w:numPr>
        <w:tabs>
          <w:tab w:pos="959" w:val="left" w:leader="none"/>
          <w:tab w:pos="960" w:val="left" w:leader="none"/>
        </w:tabs>
        <w:spacing w:line="240" w:lineRule="auto" w:before="60" w:after="0"/>
        <w:ind w:left="960" w:right="0" w:hanging="360"/>
        <w:jc w:val="left"/>
        <w:rPr>
          <w:sz w:val="24"/>
        </w:rPr>
      </w:pPr>
      <w:r>
        <w:rPr>
          <w:rFonts w:ascii="Arial" w:hAnsi="Arial" w:cs="Arial" w:eastAsia="Arial"/>
          <w:sz w:val="24"/>
        </w:rPr>
        <w:t>AUC</w:t>
      </w:r>
      <w:r>
        <w:rPr>
          <w:rFonts w:ascii="Arial" w:hAnsi="Arial" w:cs="Arial" w:eastAsia="Arial"/>
          <w:sz w:val="24"/>
          <w:vertAlign w:val="subscript"/>
        </w:rPr>
        <w:t>(0-8h)</w:t>
      </w:r>
      <w:r>
        <w:rPr>
          <w:rFonts w:ascii="Arial" w:hAnsi="Arial" w:cs="Arial" w:eastAsia="Arial"/>
          <w:sz w:val="24"/>
          <w:vertAlign w:val="baseline"/>
        </w:rPr>
        <w:t xml:space="preserve">  area under concentration x time curve from time 0 to 8 hours</w:t>
      </w:r>
      <w:r>
        <w:rPr>
          <w:rFonts w:ascii="Arial" w:hAnsi="Arial" w:cs="Arial" w:eastAsia="Arial"/>
          <w:spacing w:val="-17"/>
          <w:sz w:val="24"/>
          <w:vertAlign w:val="baseline"/>
        </w:rPr>
        <w:t xml:space="preserve">  </w:t>
      </w:r>
      <w:r>
        <w:rPr>
          <w:rFonts w:ascii="Arial" w:hAnsi="Arial" w:cs="Arial" w:eastAsia="Arial"/>
          <w:sz w:val="24"/>
          <w:vertAlign w:val="baseline"/>
        </w:rPr>
        <w:t xml:space="preserve">  postdose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7"/>
        </w:numPr>
        <w:tabs>
          <w:tab w:pos="959" w:val="left" w:leader="none"/>
          <w:tab w:pos="960" w:val="left" w:leader="none"/>
          <w:tab w:pos="2039" w:val="left" w:leader="none"/>
        </w:tabs>
        <w:spacing w:line="240" w:lineRule="auto" w:before="60" w:after="0"/>
        <w:ind w:left="960" w:right="0" w:hanging="360"/>
        <w:jc w:val="left"/>
        <w:rPr>
          <w:sz w:val="24"/>
        </w:rPr>
      </w:pPr>
      <w:r>
        <w:rPr>
          <w:rFonts w:ascii="Arial" w:hAnsi="Arial" w:cs="Arial" w:eastAsia="Arial"/>
          <w:sz w:val="24"/>
        </w:rPr>
        <w:t>t</w:t>
      </w:r>
      <w:r>
        <w:rPr>
          <w:rFonts w:ascii="Arial" w:hAnsi="Arial" w:cs="Arial" w:eastAsia="Arial"/>
          <w:sz w:val="24"/>
          <w:vertAlign w:val="subscript"/>
        </w:rPr>
        <w:t>max</w:t>
      </w:r>
      <w:r>
        <w:rPr>
          <w:rFonts w:ascii="Arial" w:hAnsi="Arial" w:cs="Arial" w:eastAsia="Arial"/>
          <w:sz w:val="24"/>
          <w:vertAlign w:val="baseline"/>
        </w:rPr>
        <w:tab/>
        <w:t>time to reach C</w:t>
      </w:r>
      <w:r>
        <w:rPr>
          <w:rFonts w:ascii="Arial" w:hAnsi="Arial" w:cs="Arial" w:eastAsia="Arial"/>
          <w:sz w:val="24"/>
          <w:vertAlign w:val="subscript"/>
        </w:rPr>
        <w:t>max</w:t>
      </w:r>
      <w:r>
        <w:rPr>
          <w:rFonts w:ascii="Arial" w:hAnsi="Arial" w:cs="Arial" w:eastAsia="Arial"/>
          <w:sz w:val="24"/>
          <w:vertAlign w:val="baseline"/>
        </w:rPr>
        <w:t xml:space="preserve">  following drug</w:t>
      </w:r>
      <w:r>
        <w:rPr>
          <w:rFonts w:ascii="Arial" w:hAnsi="Arial" w:cs="Arial" w:eastAsia="Arial"/>
          <w:spacing w:val="-7"/>
          <w:sz w:val="24"/>
          <w:vertAlign w:val="baseline"/>
        </w:rPr>
        <w:t xml:space="preserve">  </w:t>
      </w:r>
      <w:r>
        <w:rPr>
          <w:rFonts w:ascii="Arial" w:hAnsi="Arial" w:cs="Arial" w:eastAsia="Arial"/>
          <w:sz w:val="24"/>
          <w:vertAlign w:val="baseline"/>
        </w:rPr>
        <w:t xml:space="preserve">  administration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40"/>
        <w:ind w:left="240" w:right="255"/>
      </w:pPr>
      <w:r>
        <w:rPr>
          <w:rFonts w:ascii="Arial" w:hAnsi="Arial" w:cs="Arial" w:eastAsia="Arial"/>
        </w:rPr>
        <w:t>The PK of E2730 will be analyzed based on available data from this study. The PK and PD Analysis datasets will be used to evaluate the relationship of PK of E2730 and change in PPR response. The PK-PD analyses may include the examination of the relationship of PK of E2730 and PPR response (eg, time of onset, maximum change, and duration of PPR; Bond and Lader data) using model-based approaches.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tabs>
          <w:tab w:pos="2507" w:val="left" w:leader="none"/>
        </w:tabs>
        <w:ind w:left="240"/>
      </w:pPr>
      <w:r>
        <w:rPr>
          <w:rFonts w:ascii="Arial" w:hAnsi="Arial" w:cs="Arial" w:eastAsia="Arial"/>
        </w:rPr>
        <w:t>Analysis</w:t>
      </w:r>
      <w:r>
        <w:rPr>
          <w:rFonts w:ascii="Arial" w:hAnsi="Arial" w:cs="Arial" w:eastAsia="Arial"/>
          <w:spacing w:val="-3"/>
        </w:rPr>
        <w:t xml:space="preserve">  </w:t>
      </w:r>
      <w:r>
        <w:rPr>
          <w:rFonts w:ascii="Arial" w:hAnsi="Arial" w:cs="Arial" w:eastAsia="Arial"/>
        </w:rPr>
        <w:t xml:space="preserve">  variables:</w:t>
        <w:tab/>
        <w:t>Plasma concentrations of E2730 and </w:t>
      </w:r>
      <w:r>
        <w:rPr>
          <w:rFonts w:ascii="Arial" w:hAnsi="Arial" w:cs="Arial" w:eastAsia="Arial"/>
          <w:i/>
        </w:rPr>
        <w:t>N</w:t>
      </w:r>
      <w:r>
        <w:rPr>
          <w:rFonts w:ascii="Arial" w:hAnsi="Arial" w:cs="Arial" w:eastAsia="Arial"/>
        </w:rPr>
        <w:t>-acetyl metabolite</w:t>
      </w:r>
      <w:r>
        <w:rPr>
          <w:rFonts w:ascii="Arial" w:hAnsi="Arial" w:cs="Arial" w:eastAsia="Arial"/>
          <w:spacing w:val="-9"/>
        </w:rPr>
        <w:t xml:space="preserve">  </w:t>
      </w:r>
      <w:r>
        <w:rPr>
          <w:rFonts w:ascii="Arial" w:hAnsi="Arial" w:cs="Arial" w:eastAsia="Arial"/>
        </w:rPr>
        <w:t xml:space="preserve">  (M1)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tabs>
          <w:tab w:pos="2507" w:val="left" w:leader="none"/>
        </w:tabs>
        <w:ind w:left="2508" w:right="344" w:hanging="2268"/>
        <w:jc w:val="both"/>
      </w:pPr>
      <w:r>
        <w:rPr>
          <w:rFonts w:ascii="Arial" w:hAnsi="Arial" w:cs="Arial" w:eastAsia="Arial"/>
        </w:rPr>
        <w:t>Analysis</w:t>
      </w:r>
      <w:r>
        <w:rPr>
          <w:rFonts w:ascii="Arial" w:hAnsi="Arial" w:cs="Arial" w:eastAsia="Arial"/>
          <w:spacing w:val="-2"/>
        </w:rPr>
        <w:t xml:space="preserve">  </w:t>
      </w:r>
      <w:r>
        <w:rPr>
          <w:rFonts w:ascii="Arial" w:hAnsi="Arial" w:cs="Arial" w:eastAsia="Arial"/>
        </w:rPr>
        <w:t xml:space="preserve">  set:</w:t>
        <w:tab/>
        <w:t>The Pharmacokinetic Analysis Set will be used for individual plasma concentration listings and summaries of plasma</w:t>
      </w:r>
      <w:r>
        <w:rPr>
          <w:rFonts w:ascii="Arial" w:hAnsi="Arial" w:cs="Arial" w:eastAsia="Arial"/>
          <w:spacing w:val="-17"/>
        </w:rPr>
        <w:t xml:space="preserve">  </w:t>
      </w:r>
      <w:r>
        <w:rPr>
          <w:rFonts w:ascii="Arial" w:hAnsi="Arial" w:cs="Arial" w:eastAsia="Arial"/>
        </w:rPr>
        <w:t xml:space="preserve">  concentrations.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508" w:right="393" w:hanging="2268"/>
        <w:jc w:val="both"/>
      </w:pPr>
      <w:r>
        <w:rPr>
          <w:rFonts w:ascii="Arial" w:hAnsi="Arial" w:cs="Arial" w:eastAsia="Arial"/>
        </w:rPr>
        <w:t>Analysis methods: The PK of E2730 will be analyzed based on available data from this study. Plasma concentrations will be tabulated by nominal sampling time and summarized by treatment dose using summary statistics.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7"/>
        </w:numPr>
        <w:tabs>
          <w:tab w:pos="1435" w:val="left" w:leader="none"/>
          <w:tab w:pos="1436" w:val="left" w:leader="none"/>
        </w:tabs>
        <w:spacing w:line="240" w:lineRule="auto" w:before="0" w:after="0"/>
        <w:ind w:left="1435" w:right="0" w:hanging="1196"/>
        <w:jc w:val="left"/>
        <w:rPr>
          <w:rFonts w:ascii="Arial"/>
          <w:sz w:val="18"/>
        </w:rPr>
      </w:pPr>
      <w:bookmarkStart w:name="_bookmark108" w:id="293"/>
      <w:bookmarkEnd w:id="293"/>
      <w:r>
        <w:rPr>
          <w:rFonts w:ascii="Arial" w:hAnsi="Arial" w:cs="Arial" w:eastAsia="Arial"/>
        </w:rPr>
      </w:r>
      <w:bookmarkStart w:name="_bookmark108" w:id="294"/>
      <w:bookmarkEnd w:id="294"/>
      <w:r>
        <w:rPr>
          <w:rFonts w:ascii="Arial" w:hAnsi="Arial" w:cs="Arial" w:eastAsia="Arial"/>
          <w:sz w:val="22"/>
        </w:rPr>
        <w:t>P</w:t>
      </w:r>
      <w:r>
        <w:rPr>
          <w:rFonts w:ascii="Arial" w:hAnsi="Arial" w:cs="Arial" w:eastAsia="Arial"/>
          <w:sz w:val="18"/>
        </w:rPr>
        <w:t>HARMACODYNAMIC</w:t>
      </w:r>
      <w:r>
        <w:rPr>
          <w:rFonts w:ascii="Arial" w:hAnsi="Arial" w:cs="Arial" w:eastAsia="Arial"/>
          <w:sz w:val="22"/>
        </w:rPr>
        <w:t>, P</w:t>
      </w:r>
      <w:r>
        <w:rPr>
          <w:rFonts w:ascii="Arial" w:hAnsi="Arial" w:cs="Arial" w:eastAsia="Arial"/>
          <w:sz w:val="18"/>
        </w:rPr>
        <w:t>HARMACOGENOMIC</w:t>
      </w:r>
      <w:r>
        <w:rPr>
          <w:rFonts w:ascii="Arial" w:hAnsi="Arial" w:cs="Arial" w:eastAsia="Arial"/>
          <w:sz w:val="22"/>
        </w:rPr>
        <w:t>, </w:t>
      </w:r>
      <w:r>
        <w:rPr>
          <w:rFonts w:ascii="Arial" w:hAnsi="Arial" w:cs="Arial" w:eastAsia="Arial"/>
          <w:sz w:val="18"/>
        </w:rPr>
        <w:t xml:space="preserve">  AND </w:t>
      </w:r>
      <w:r>
        <w:rPr>
          <w:rFonts w:ascii="Arial" w:hAnsi="Arial" w:cs="Arial" w:eastAsia="Arial"/>
          <w:sz w:val="22"/>
        </w:rPr>
        <w:t xml:space="preserve">  O</w:t>
      </w:r>
      <w:r>
        <w:rPr>
          <w:rFonts w:ascii="Arial" w:hAnsi="Arial" w:cs="Arial" w:eastAsia="Arial"/>
          <w:sz w:val="18"/>
        </w:rPr>
        <w:t>THER </w:t>
      </w:r>
      <w:r>
        <w:rPr>
          <w:rFonts w:ascii="Arial" w:hAnsi="Arial" w:cs="Arial" w:eastAsia="Arial"/>
          <w:sz w:val="22"/>
        </w:rPr>
        <w:t xml:space="preserve">  B</w:t>
      </w:r>
      <w:r>
        <w:rPr>
          <w:rFonts w:ascii="Arial" w:hAnsi="Arial" w:cs="Arial" w:eastAsia="Arial"/>
          <w:sz w:val="18"/>
        </w:rPr>
        <w:t>IOMARKER</w:t>
      </w:r>
      <w:r>
        <w:rPr>
          <w:rFonts w:ascii="Arial" w:hAnsi="Arial" w:cs="Arial" w:eastAsia="Arial"/>
          <w:spacing w:val="-32"/>
          <w:sz w:val="18"/>
        </w:rPr>
        <w:t xml:space="preserve">  </w:t>
      </w:r>
      <w:r>
        <w:rPr>
          <w:rFonts w:ascii="Arial" w:hAnsi="Arial" w:cs="Arial" w:eastAsia="Arial"/>
          <w:sz w:val="22"/>
        </w:rPr>
        <w:t xml:space="preserve">  A</w:t>
      </w:r>
      <w:r>
        <w:rPr>
          <w:rFonts w:ascii="Arial" w:hAnsi="Arial" w:cs="Arial" w:eastAsia="Arial"/>
          <w:sz w:val="18"/>
        </w:rPr>
        <w:t>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pPr>
      <w:r>
        <w:rPr>
          <w:rFonts w:ascii="Arial" w:hAnsi="Arial" w:cs="Arial" w:eastAsia="Arial"/>
        </w:rPr>
        <w:t>The PD analysis will be performed on the PD Analysis Set.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34"/>
      </w:pPr>
      <w:r>
        <w:rPr>
          <w:rFonts w:ascii="Arial" w:hAnsi="Arial" w:cs="Arial" w:eastAsia="Arial"/>
        </w:rPr>
        <w:t>No multiplicity adjustments will be made. The 5 PPR measured postdose on a study day will be averaged and used for the primary endpoint. The predose PPR data from the respective treatment period will be used as the baseline data.</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96"/>
      </w:pPr>
      <w:r>
        <w:rPr>
          <w:rFonts w:ascii="Arial" w:hAnsi="Arial" w:cs="Arial" w:eastAsia="Arial"/>
        </w:rPr>
        <w:t>The primary and secondary endpoints of mean change from baseline of the average PPR for each E2730 dose compared with placebo in the most sensitive and different eye conditions will be performed using a mixed effects model for crossover study. The model will include treatment, period, and sequence as fixed effects, baseline (predose) measurement as a covariate, and subject nested within sequence as a random effect. Where data are normally distributed, least squares (LS) means, difference in LS means of each E2730 dose compared to placebo, and 90% CIs will be presented with no adjustments for multiplicity.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Additional analysis by graphical exploration on onset, maximum change, and duration of photosensitivity response at each dose level will be performed for all 3 eye conditions at the time course of E2730 as compared to placebo. This analysis will provide further information on the frequency and percentage of subjects with Complete Suppression, Partial Response, and No Response of PPR at each dose level of E2730 as compared to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95"/>
      </w:pPr>
      <w:r>
        <w:rPr>
          <w:rFonts w:ascii="Arial" w:hAnsi="Arial" w:cs="Arial" w:eastAsia="Arial"/>
        </w:rPr>
        <w:t>Sensitivity analyses for PPR may be conducted, for example, of PPR for subjects who completed Treatment Periods 1-3 versus those who are included in the PD Analysis Set. Other exploratory analyses may be conducted as data permit. All PD data (Bond and Lader) will be listed and summarized by treatment, as appropriate, using standard summary statistics. Descriptive summary statistics (eg, mean, SD, median, minimum, and maximum</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927"/>
      </w:pPr>
      <w:r>
        <w:rPr>
          <w:rFonts w:ascii="Arial" w:hAnsi="Arial" w:cs="Arial" w:eastAsia="Arial"/>
        </w:rPr>
        <w:t>for continuous variables, and the number and percent for categorical variables) of</w:t>
      </w:r>
      <w:r>
        <w:rPr>
          <w:rFonts w:ascii="Arial" w:hAnsi="Arial" w:cs="Arial" w:eastAsia="Arial"/>
          <w:spacing w:val="-10"/>
        </w:rPr>
        <w:t xml:space="preserve">  </w:t>
      </w:r>
      <w:r>
        <w:rPr>
          <w:rFonts w:ascii="Arial" w:hAnsi="Arial" w:cs="Arial" w:eastAsia="Arial"/>
        </w:rPr>
        <w:t xml:space="preserve">  each endpoint and the changes from baseline will be</w:t>
      </w:r>
      <w:r>
        <w:rPr>
          <w:rFonts w:ascii="Arial" w:hAnsi="Arial" w:cs="Arial" w:eastAsia="Arial"/>
          <w:spacing w:val="-2"/>
        </w:rPr>
        <w:t xml:space="preserve">  </w:t>
      </w:r>
      <w:r>
        <w:rPr>
          <w:rFonts w:ascii="Arial" w:hAnsi="Arial" w:cs="Arial" w:eastAsia="Arial"/>
        </w:rPr>
        <w:t xml:space="preserve">  tabulated.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02"/>
      </w:pPr>
      <w:r>
        <w:rPr>
          <w:rFonts w:ascii="Arial" w:hAnsi="Arial" w:cs="Arial" w:eastAsia="Arial"/>
        </w:rPr>
        <w:t>PGx analyses may be performed and reported separately. Details of these analyses, if appropriate, may be described in a separate analysis</w:t>
      </w:r>
      <w:r>
        <w:rPr>
          <w:rFonts w:ascii="Arial" w:hAnsi="Arial" w:cs="Arial" w:eastAsia="Arial"/>
          <w:spacing w:val="-8"/>
        </w:rPr>
        <w:t xml:space="preserve">  </w:t>
      </w:r>
      <w:r>
        <w:rPr>
          <w:rFonts w:ascii="Arial" w:hAnsi="Arial" w:cs="Arial" w:eastAsia="Arial"/>
        </w:rPr>
        <w:t xml:space="preserve">  plan.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0" w:hanging="1200"/>
        <w:jc w:val="left"/>
        <w:rPr>
          <w:rFonts w:ascii="Arial"/>
          <w:sz w:val="22"/>
        </w:rPr>
      </w:pPr>
      <w:bookmarkStart w:name="9.7.1.8 Safety Analyses" w:id="295"/>
      <w:bookmarkEnd w:id="295"/>
      <w:r>
        <w:rPr>
          <w:rFonts w:ascii="Arial" w:hAnsi="Arial" w:cs="Arial" w:eastAsia="Arial"/>
        </w:rPr>
      </w:r>
      <w:bookmarkStart w:name="_bookmark109" w:id="296"/>
      <w:bookmarkEnd w:id="296"/>
      <w:r>
        <w:rPr>
          <w:rFonts w:ascii="Arial" w:hAnsi="Arial" w:cs="Arial" w:eastAsia="Arial"/>
        </w:rPr>
      </w:r>
      <w:bookmarkStart w:name="_bookmark109" w:id="297"/>
      <w:bookmarkEnd w:id="297"/>
      <w:r>
        <w:rPr>
          <w:rFonts w:ascii="Arial" w:hAnsi="Arial" w:cs="Arial" w:eastAsia="Arial"/>
          <w:sz w:val="22"/>
        </w:rPr>
        <w:t>Safet</w:t>
      </w:r>
      <w:r>
        <w:rPr>
          <w:rFonts w:ascii="Arial" w:hAnsi="Arial" w:cs="Arial" w:eastAsia="Arial"/>
          <w:sz w:val="22"/>
        </w:rPr>
        <w:t>y</w:t>
      </w:r>
      <w:r>
        <w:rPr>
          <w:rFonts w:ascii="Arial" w:hAnsi="Arial" w:cs="Arial" w:eastAsia="Arial"/>
          <w:spacing w:val="-2"/>
          <w:sz w:val="22"/>
        </w:rPr>
        <w:t xml:space="preserve">  </w:t>
      </w:r>
      <w:r>
        <w:rPr>
          <w:rFonts w:ascii="Arial" w:hAnsi="Arial" w:cs="Arial" w:eastAsia="Arial"/>
          <w:sz w:val="22"/>
        </w:rPr>
        <w:t xml:space="preserve">  Analyses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Evaluations of safety will be performed on the Safety Analysis Set. Safety data that will be evaluated include AEs, clinical laboratory results, vital signs, ECGs, and neurological/physical examinations. Treatment-emergent adverse events (TEAEs) will be summarized by presenting for each treatment group, the incidence of AEs.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An assessment of suicidal ideation and behavior using the C-SSRS will be performed throughout the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20"/>
      </w:pPr>
      <w:r>
        <w:rPr>
          <w:rFonts w:ascii="Arial" w:hAnsi="Arial" w:cs="Arial" w:eastAsia="Arial"/>
        </w:rPr>
        <w:t>Descriptive summary statistics (eg, mean, SD, median, minimum, and maximum for continuous variables, and the number and percent for categorical variables) of the</w:t>
      </w:r>
      <w:r>
        <w:rPr>
          <w:rFonts w:ascii="Arial" w:hAnsi="Arial" w:cs="Arial" w:eastAsia="Arial"/>
          <w:spacing w:val="-28"/>
        </w:rPr>
        <w:t xml:space="preserve">  </w:t>
      </w:r>
      <w:r>
        <w:rPr>
          <w:rFonts w:ascii="Arial" w:hAnsi="Arial" w:cs="Arial" w:eastAsia="Arial"/>
        </w:rPr>
        <w:t xml:space="preserve">  laboratory, vital signs, and ECG parameters, and changes from baseline will be evaluated by treatment group. The proportion of subjects with any treatment-emergent report of suicidal ideation and behavior and intensity of these behaviors will be</w:t>
      </w:r>
      <w:r>
        <w:rPr>
          <w:rFonts w:ascii="Arial" w:hAnsi="Arial" w:cs="Arial" w:eastAsia="Arial"/>
          <w:spacing w:val="-7"/>
        </w:rPr>
        <w:t xml:space="preserve">  </w:t>
      </w:r>
      <w:r>
        <w:rPr>
          <w:rFonts w:ascii="Arial" w:hAnsi="Arial" w:cs="Arial" w:eastAsia="Arial"/>
        </w:rPr>
        <w:t xml:space="preserve">  summarized.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5"/>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0" w:after="0"/>
        <w:ind w:left="1435" w:right="0" w:hanging="1196"/>
        <w:jc w:val="left"/>
        <w:rPr>
          <w:rFonts w:ascii="Arial"/>
          <w:sz w:val="18"/>
        </w:rPr>
      </w:pPr>
      <w:bookmarkStart w:name="_bookmark110" w:id="298"/>
      <w:bookmarkEnd w:id="298"/>
      <w:r>
        <w:rPr>
          <w:rFonts w:ascii="Arial" w:hAnsi="Arial" w:cs="Arial" w:eastAsia="Arial"/>
        </w:rPr>
      </w:r>
      <w:bookmarkStart w:name="_bookmark110" w:id="299"/>
      <w:bookmarkEnd w:id="299"/>
      <w:r>
        <w:rPr>
          <w:rFonts w:ascii="Arial" w:hAnsi="Arial" w:cs="Arial" w:eastAsia="Arial"/>
          <w:sz w:val="22"/>
        </w:rPr>
        <w:t>E</w:t>
      </w:r>
      <w:r>
        <w:rPr>
          <w:rFonts w:ascii="Arial" w:hAnsi="Arial" w:cs="Arial" w:eastAsia="Arial"/>
          <w:sz w:val="18"/>
        </w:rPr>
        <w:t>XTENT OF</w:t>
      </w:r>
      <w:r>
        <w:rPr>
          <w:rFonts w:ascii="Arial" w:hAnsi="Arial" w:cs="Arial" w:eastAsia="Arial"/>
          <w:spacing w:val="-3"/>
          <w:sz w:val="18"/>
        </w:rPr>
        <w:t xml:space="preserve">  </w:t>
      </w:r>
      <w:r>
        <w:rPr>
          <w:rFonts w:ascii="Arial" w:hAnsi="Arial" w:cs="Arial" w:eastAsia="Arial"/>
          <w:sz w:val="22"/>
        </w:rPr>
        <w:t xml:space="preserve">  E</w:t>
      </w:r>
      <w:r>
        <w:rPr>
          <w:rFonts w:ascii="Arial" w:hAnsi="Arial" w:cs="Arial" w:eastAsia="Arial"/>
          <w:sz w:val="18"/>
        </w:rPr>
        <w:t>XPOSURE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5"/>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pPr>
      <w:r>
        <w:rPr>
          <w:rFonts w:ascii="Arial" w:hAnsi="Arial" w:cs="Arial" w:eastAsia="Arial"/>
        </w:rPr>
        <w:t>Extent of exposure will be presented by dose level.</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1" w:after="0"/>
        <w:ind w:left="1435" w:right="0" w:hanging="1196"/>
        <w:jc w:val="left"/>
        <w:rPr>
          <w:rFonts w:ascii="Arial"/>
          <w:sz w:val="18"/>
        </w:rPr>
      </w:pPr>
      <w:bookmarkStart w:name="_bookmark111" w:id="300"/>
      <w:bookmarkEnd w:id="300"/>
      <w:r>
        <w:rPr>
          <w:rFonts w:ascii="Arial" w:hAnsi="Arial" w:cs="Arial" w:eastAsia="Arial"/>
        </w:rPr>
      </w:r>
      <w:bookmarkStart w:name="_bookmark111" w:id="301"/>
      <w:bookmarkEnd w:id="301"/>
      <w:r>
        <w:rPr>
          <w:rFonts w:ascii="Arial" w:hAnsi="Arial" w:cs="Arial" w:eastAsia="Arial"/>
          <w:sz w:val="22"/>
        </w:rPr>
        <w:t>A</w:t>
      </w:r>
      <w:r>
        <w:rPr>
          <w:rFonts w:ascii="Arial" w:hAnsi="Arial" w:cs="Arial" w:eastAsia="Arial"/>
          <w:sz w:val="18"/>
        </w:rPr>
        <w:t>DVERSE</w:t>
      </w:r>
      <w:r>
        <w:rPr>
          <w:rFonts w:ascii="Arial" w:hAnsi="Arial" w:cs="Arial" w:eastAsia="Arial"/>
          <w:spacing w:val="-1"/>
          <w:sz w:val="18"/>
        </w:rPr>
        <w:t xml:space="preserve">  </w:t>
      </w:r>
      <w:r>
        <w:rPr>
          <w:rFonts w:ascii="Arial" w:hAnsi="Arial" w:cs="Arial" w:eastAsia="Arial"/>
          <w:sz w:val="22"/>
        </w:rPr>
        <w:t xml:space="preserve">  E</w:t>
      </w:r>
      <w:r>
        <w:rPr>
          <w:rFonts w:ascii="Arial" w:hAnsi="Arial" w:cs="Arial" w:eastAsia="Arial"/>
          <w:sz w:val="18"/>
        </w:rPr>
        <w:t>VENTS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The AE verbatim descriptions (investigator terms from the CRF) will be classified into standardized medical terminology using the Medical Dictionary for Regulatory Activities (MedDRA). AEs will be coded to the MedDRA (Version 20.0 or higher) lower level term (LLT) closest to the verbatim term. The linked MedDRA PT and primary system organ class (SOC) are also captured in the database.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1342"/>
      </w:pPr>
      <w:r>
        <w:rPr>
          <w:rFonts w:ascii="Arial" w:hAnsi="Arial" w:cs="Arial" w:eastAsia="Arial"/>
        </w:rPr>
        <w:t>A TEAE is defined as an AE that emerges during treatment, having been absent at pretreatment (Baseline) or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8"/>
        </w:numPr>
        <w:tabs>
          <w:tab w:pos="959" w:val="left" w:leader="none"/>
          <w:tab w:pos="960" w:val="left" w:leader="none"/>
        </w:tabs>
        <w:spacing w:line="240" w:lineRule="auto" w:before="60" w:after="0"/>
        <w:ind w:left="960" w:right="860" w:hanging="360"/>
        <w:jc w:val="left"/>
        <w:rPr>
          <w:sz w:val="24"/>
        </w:rPr>
      </w:pPr>
      <w:r>
        <w:rPr>
          <w:rFonts w:ascii="Arial" w:hAnsi="Arial" w:cs="Arial" w:eastAsia="Arial"/>
          <w:sz w:val="24"/>
        </w:rPr>
        <w:t>Reemerges during treatment, having been present at pretreatment (Baseline) but stopped before treatment,</w:t>
      </w:r>
      <w:r>
        <w:rPr>
          <w:rFonts w:ascii="Arial" w:hAnsi="Arial" w:cs="Arial" w:eastAsia="Arial"/>
          <w:spacing w:val="-3"/>
          <w:sz w:val="24"/>
        </w:rPr>
        <w:t xml:space="preserve">  </w:t>
      </w:r>
      <w:r>
        <w:rPr>
          <w:rFonts w:ascii="Arial" w:hAnsi="Arial" w:cs="Arial" w:eastAsia="Arial"/>
          <w:sz w:val="24"/>
        </w:rPr>
        <w:t xml:space="preserve">  or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8"/>
        </w:numPr>
        <w:tabs>
          <w:tab w:pos="959" w:val="left" w:leader="none"/>
          <w:tab w:pos="960" w:val="left" w:leader="none"/>
        </w:tabs>
        <w:spacing w:line="240" w:lineRule="auto" w:before="60" w:after="0"/>
        <w:ind w:left="960" w:right="456" w:hanging="360"/>
        <w:jc w:val="left"/>
        <w:rPr>
          <w:sz w:val="24"/>
        </w:rPr>
      </w:pPr>
      <w:r>
        <w:rPr>
          <w:rFonts w:ascii="Arial" w:hAnsi="Arial" w:cs="Arial" w:eastAsia="Arial"/>
          <w:sz w:val="24"/>
        </w:rPr>
        <w:t>Worsens in severity during treatment relative to the pretreatment state, when the</w:t>
      </w:r>
      <w:r>
        <w:rPr>
          <w:rFonts w:ascii="Arial" w:hAnsi="Arial" w:cs="Arial" w:eastAsia="Arial"/>
          <w:spacing w:val="-17"/>
          <w:sz w:val="24"/>
        </w:rPr>
        <w:t xml:space="preserve">  </w:t>
      </w:r>
      <w:r>
        <w:rPr>
          <w:rFonts w:ascii="Arial" w:hAnsi="Arial" w:cs="Arial" w:eastAsia="Arial"/>
          <w:sz w:val="24"/>
        </w:rPr>
        <w:t xml:space="preserve">  AE is continuous.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0"/>
        <w:ind w:left="240" w:right="580"/>
      </w:pPr>
      <w:r>
        <w:rPr>
          <w:rFonts w:ascii="Arial" w:hAnsi="Arial" w:cs="Arial" w:eastAsia="Arial"/>
        </w:rPr>
        <w:t>Only those AEs that are treatment-emergent will be included in summary tables. All AEs, treatment-emergent or otherwise, will be presented in subject data listings.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The TEAEs will be summarized by treatment group, using the Safety Analysis Set. The incidence of TEAEs will be reported as the number (percentage) of subjects with TEAEs by SOC and PT. A subject will be counted only once within an SOC and PT, even if the subject experienced more than 1 TEAE within a specific SOC and PT. The number (percentage) of</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748"/>
      </w:pPr>
      <w:r>
        <w:rPr>
          <w:rFonts w:ascii="Arial" w:hAnsi="Arial" w:cs="Arial" w:eastAsia="Arial"/>
        </w:rPr>
        <w:t>subjects with TEAEs will also be summarized by maximum severity (mild, moderate, or severe).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44"/>
        <w:jc w:val="both"/>
      </w:pPr>
      <w:r>
        <w:rPr>
          <w:rFonts w:ascii="Arial" w:hAnsi="Arial" w:cs="Arial" w:eastAsia="Arial"/>
        </w:rPr>
        <w:t>The number (percentage) of subjects with TEAEs will also be summarized by relationship to study drug (Yes [related] and No [not related]). A subject data listing of all SAEs, including deaths, will be provided.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0" w:after="0"/>
        <w:ind w:left="1435" w:right="0" w:hanging="1196"/>
        <w:jc w:val="left"/>
        <w:rPr>
          <w:rFonts w:ascii="Arial"/>
          <w:sz w:val="18"/>
        </w:rPr>
      </w:pPr>
      <w:bookmarkStart w:name="_bookmark112" w:id="302"/>
      <w:bookmarkEnd w:id="302"/>
      <w:r>
        <w:rPr>
          <w:rFonts w:ascii="Arial" w:hAnsi="Arial" w:cs="Arial" w:eastAsia="Arial"/>
        </w:rPr>
      </w:r>
      <w:bookmarkStart w:name="_bookmark112" w:id="303"/>
      <w:bookmarkEnd w:id="303"/>
      <w:r>
        <w:rPr>
          <w:rFonts w:ascii="Arial" w:hAnsi="Arial" w:cs="Arial" w:eastAsia="Arial"/>
          <w:sz w:val="22"/>
        </w:rPr>
        <w:t>L</w:t>
      </w:r>
      <w:r>
        <w:rPr>
          <w:rFonts w:ascii="Arial" w:hAnsi="Arial" w:cs="Arial" w:eastAsia="Arial"/>
          <w:sz w:val="18"/>
        </w:rPr>
        <w:t>ABORATORY</w:t>
      </w:r>
      <w:r>
        <w:rPr>
          <w:rFonts w:ascii="Arial" w:hAnsi="Arial" w:cs="Arial" w:eastAsia="Arial"/>
          <w:spacing w:val="-1"/>
          <w:sz w:val="18"/>
        </w:rPr>
        <w:t xml:space="preserve">  </w:t>
      </w:r>
      <w:r>
        <w:rPr>
          <w:rFonts w:ascii="Arial" w:hAnsi="Arial" w:cs="Arial" w:eastAsia="Arial"/>
          <w:sz w:val="22"/>
        </w:rPr>
        <w:t xml:space="preserve">  V</w:t>
      </w:r>
      <w:r>
        <w:rPr>
          <w:rFonts w:ascii="Arial" w:hAnsi="Arial" w:cs="Arial" w:eastAsia="Arial"/>
          <w:sz w:val="18"/>
        </w:rPr>
        <w:t>ALUES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Laboratory results will be summarized using Système International (SI) units, as appropriate. For all quantitative parameters listed in </w:t>
      </w:r>
      <w:r>
        <w:rPr>
          <w:rFonts w:ascii="Arial" w:hAnsi="Arial" w:cs="Arial" w:eastAsia="Arial"/>
          <w:color w:val="3232FF"/>
        </w:rPr>
        <w:t xml:space="preserve">  Section </w:t>
      </w:r>
      <w:hyperlink w:history="true" w:anchor="_bookmark69">
        <w:r>
          <w:rPr>
            <w:rFonts w:ascii="Arial" w:hAnsi="Arial" w:cs="Arial" w:eastAsia="Arial"/>
            <w:color w:val="0000FF"/>
          </w:rPr>
          <w:t xml:space="preserve">  9.5.1.5.3</w:t>
        </w:r>
      </w:hyperlink>
      <w:r>
        <w:rPr>
          <w:rFonts w:ascii="Arial" w:hAnsi="Arial" w:cs="Arial" w:eastAsia="Arial"/>
        </w:rPr>
        <w:t>, the actual value and the change from baseline to each postbaseline visit and to the end of treatment (defined as the last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on-treatment value) will be summarized by visit and treatment group using descriptive statistics. Qualitative parameters listed in </w:t>
      </w:r>
      <w:r>
        <w:rPr>
          <w:rFonts w:ascii="Arial" w:hAnsi="Arial" w:cs="Arial" w:eastAsia="Arial"/>
          <w:color w:val="3232FF"/>
        </w:rPr>
        <w:t xml:space="preserve">  Section </w:t>
      </w:r>
      <w:hyperlink w:history="true" w:anchor="_bookmark69">
        <w:r>
          <w:rPr>
            <w:rFonts w:ascii="Arial" w:hAnsi="Arial" w:cs="Arial" w:eastAsia="Arial"/>
            <w:color w:val="0000FF"/>
          </w:rPr>
          <w:t xml:space="preserve">  9.5.1.5.3</w:t>
        </w:r>
      </w:hyperlink>
      <w:r>
        <w:rPr>
          <w:rFonts w:ascii="Arial" w:hAnsi="Arial" w:cs="Arial" w:eastAsia="Arial"/>
          <w:color w:val="0000FF"/>
        </w:rPr>
        <w:t xml:space="preserve">  </w:t>
      </w:r>
      <w:r>
        <w:rPr>
          <w:rFonts w:ascii="Arial" w:hAnsi="Arial" w:cs="Arial" w:eastAsia="Arial"/>
        </w:rPr>
        <w:t xml:space="preserve">  will be summarized using frequencies (number and percentage of subjects), and changes from baseline to each postbaseline visit and to end of treatment will be reported using shift tables. Percentages will be based on the number of subjects with both nonmissing baseline and relevant postbaseline results.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69"/>
      </w:pPr>
      <w:r>
        <w:rPr>
          <w:rFonts w:ascii="Arial" w:hAnsi="Arial" w:cs="Arial" w:eastAsia="Arial"/>
        </w:rPr>
        <w:t>Laboratory test results will be assigned a low/normal/high (LNH) classification according to whether the value was below (L), within (N), or above (H) the laboratory parameter’s reference range. Within-treatment comparisons for each laboratory parameter will be based on 3-by-3 tables (shift tables) that compare the baseline LNH classification to the LNH classification at each postbaseline visit and at the end of treatment. Similar shift tables will also compare the baseline LNH classification to the LNH classification for the highest and lowest value during the treatment period.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02"/>
      </w:pPr>
      <w:hyperlink w:history="true" w:anchor="_bookmark135">
        <w:r>
          <w:rPr>
            <w:rFonts w:ascii="Arial" w:hAnsi="Arial" w:cs="Arial" w:eastAsia="Arial"/>
            <w:color w:val="0000FF"/>
          </w:rPr>
          <w:t>Appendix 1</w:t>
        </w:r>
      </w:hyperlink>
      <w:r>
        <w:rPr>
          <w:rFonts w:ascii="Arial" w:hAnsi="Arial" w:cs="Arial" w:eastAsia="Arial"/>
          <w:color w:val="0000FF"/>
        </w:rPr>
        <w:t xml:space="preserve">  </w:t>
      </w:r>
      <w:r>
        <w:rPr>
          <w:rFonts w:ascii="Arial" w:hAnsi="Arial" w:cs="Arial" w:eastAsia="Arial"/>
        </w:rPr>
        <w:t xml:space="preserve">  (Sponsor’s Grading for Laboratory Values) presents the criteria that will be used to identify subjects with treatment-emergent markedly abnormal laboratory values (TEMAVs). Except for phosphate, a TEMAV is defined as a postbaseline value with an increase from baseline to a grade of 2 or higher. For phosphate, a TEMAV was defined as a postbaseline value with an increase from baseline to a grade of 3 or higher. When displaying the incidence of TEMAVs, each subject may be counted once in the laboratory parameter high and in the laboratory parameter low categories, as applicable.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0" w:after="0"/>
        <w:ind w:left="1435" w:right="0" w:hanging="1196"/>
        <w:jc w:val="left"/>
        <w:rPr>
          <w:rFonts w:ascii="Arial"/>
          <w:sz w:val="18"/>
        </w:rPr>
      </w:pPr>
      <w:bookmarkStart w:name="_bookmark113" w:id="304"/>
      <w:bookmarkEnd w:id="304"/>
      <w:r>
        <w:rPr>
          <w:rFonts w:ascii="Arial" w:hAnsi="Arial" w:cs="Arial" w:eastAsia="Arial"/>
        </w:rPr>
      </w:r>
      <w:bookmarkStart w:name="_bookmark113" w:id="305"/>
      <w:bookmarkEnd w:id="305"/>
      <w:r>
        <w:rPr>
          <w:rFonts w:ascii="Arial" w:hAnsi="Arial" w:cs="Arial" w:eastAsia="Arial"/>
          <w:sz w:val="22"/>
        </w:rPr>
        <w:t>V</w:t>
      </w:r>
      <w:r>
        <w:rPr>
          <w:rFonts w:ascii="Arial" w:hAnsi="Arial" w:cs="Arial" w:eastAsia="Arial"/>
          <w:sz w:val="18"/>
        </w:rPr>
        <w:t>ITAL</w:t>
      </w:r>
      <w:r>
        <w:rPr>
          <w:rFonts w:ascii="Arial" w:hAnsi="Arial" w:cs="Arial" w:eastAsia="Arial"/>
          <w:spacing w:val="-2"/>
          <w:sz w:val="18"/>
        </w:rPr>
        <w:t xml:space="preserve">  </w:t>
      </w:r>
      <w:r>
        <w:rPr>
          <w:rFonts w:ascii="Arial" w:hAnsi="Arial" w:cs="Arial" w:eastAsia="Arial"/>
          <w:sz w:val="22"/>
        </w:rPr>
        <w:t xml:space="preserve">  S</w:t>
      </w:r>
      <w:r>
        <w:rPr>
          <w:rFonts w:ascii="Arial" w:hAnsi="Arial" w:cs="Arial" w:eastAsia="Arial"/>
          <w:sz w:val="18"/>
        </w:rPr>
        <w:t>IGNS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Descriptive statistics for vital signs parameters (ie, systolic and diastolic BP, pulse, respiratory rate, and temperature) and changes from baseline will be presented by visit and treatment group.</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0" w:after="0"/>
        <w:ind w:left="1435" w:right="0" w:hanging="1196"/>
        <w:jc w:val="left"/>
        <w:rPr>
          <w:rFonts w:ascii="Arial"/>
          <w:sz w:val="18"/>
        </w:rPr>
      </w:pPr>
      <w:bookmarkStart w:name="_bookmark114" w:id="306"/>
      <w:bookmarkEnd w:id="306"/>
      <w:r>
        <w:rPr>
          <w:rFonts w:ascii="Arial" w:hAnsi="Arial" w:cs="Arial" w:eastAsia="Arial"/>
        </w:rPr>
      </w:r>
      <w:bookmarkStart w:name="_bookmark114" w:id="307"/>
      <w:bookmarkEnd w:id="307"/>
      <w:r>
        <w:rPr>
          <w:rFonts w:ascii="Arial" w:hAnsi="Arial" w:cs="Arial" w:eastAsia="Arial"/>
          <w:sz w:val="22"/>
        </w:rPr>
        <w:t>E</w:t>
      </w:r>
      <w:r>
        <w:rPr>
          <w:rFonts w:ascii="Arial" w:hAnsi="Arial" w:cs="Arial" w:eastAsia="Arial"/>
          <w:sz w:val="18"/>
        </w:rPr>
        <w:t>LECTROCARDIOGRAMS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642"/>
      </w:pPr>
      <w:r>
        <w:rPr>
          <w:rFonts w:ascii="Arial" w:hAnsi="Arial" w:cs="Arial" w:eastAsia="Arial"/>
        </w:rPr>
        <w:t>Descriptive statistics for ECG parameters and changes from baseline will be presented by visit and treatment group.</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309"/>
      </w:pPr>
      <w:r>
        <w:rPr>
          <w:rFonts w:ascii="Arial" w:hAnsi="Arial" w:cs="Arial" w:eastAsia="Arial"/>
        </w:rPr>
        <w:t>Shift tables will present changes from baseline in ECG interpretation (categorized as normal; abnormal, not clinically significant; and abnormal, clinically significant) to end of treatment.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pPr>
      <w:r>
        <w:rPr>
          <w:rFonts w:ascii="Arial" w:hAnsi="Arial" w:cs="Arial" w:eastAsia="Arial"/>
        </w:rPr>
        <w:t>In addition, the number (percentage) of subjects with at least 1 postbaseline abnormal ECG result in QTc Fridericia during the treatment period will be summarized. Clinically abnormal ECG results in QTc Fridericia will be categorized as follows: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8"/>
        </w:numPr>
        <w:tabs>
          <w:tab w:pos="959" w:val="left" w:leader="none"/>
          <w:tab w:pos="960" w:val="left" w:leader="none"/>
        </w:tabs>
        <w:spacing w:line="240" w:lineRule="auto" w:before="1" w:after="0"/>
        <w:ind w:left="960" w:right="699" w:hanging="360"/>
        <w:jc w:val="left"/>
        <w:rPr>
          <w:sz w:val="24"/>
        </w:rPr>
      </w:pPr>
      <w:r>
        <w:rPr>
          <w:rFonts w:ascii="Arial" w:hAnsi="Arial" w:cs="Arial" w:eastAsia="Arial"/>
          <w:sz w:val="24"/>
        </w:rPr>
        <w:t>For the QT interval assessment, clinically abnormal ECG results for QT interval corrected for heart rate using Fridericia’s formula (QTcF) will be categorized as follows: QTcF values &gt;450 msec, &gt;480 msec, and &gt;500 msec, and time-matched change from baseline in QTcF &gt;30 msec and &gt;60</w:t>
      </w:r>
      <w:r>
        <w:rPr>
          <w:rFonts w:ascii="Arial" w:hAnsi="Arial" w:cs="Arial" w:eastAsia="Arial"/>
          <w:spacing w:val="-7"/>
          <w:sz w:val="24"/>
        </w:rPr>
        <w:t xml:space="preserve">  </w:t>
      </w:r>
      <w:r>
        <w:rPr>
          <w:rFonts w:ascii="Arial" w:hAnsi="Arial" w:cs="Arial" w:eastAsia="Arial"/>
          <w:sz w:val="24"/>
        </w:rPr>
        <w:t xml:space="preserve">  msec.</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0" w:after="0"/>
        <w:ind w:left="1435" w:right="0" w:hanging="1196"/>
        <w:jc w:val="left"/>
        <w:rPr>
          <w:rFonts w:ascii="Arial"/>
          <w:sz w:val="18"/>
        </w:rPr>
      </w:pPr>
      <w:bookmarkStart w:name="_bookmark115" w:id="308"/>
      <w:bookmarkEnd w:id="308"/>
      <w:r>
        <w:rPr>
          <w:rFonts w:ascii="Arial" w:hAnsi="Arial" w:cs="Arial" w:eastAsia="Arial"/>
        </w:rPr>
      </w:r>
      <w:bookmarkStart w:name="_bookmark115" w:id="309"/>
      <w:bookmarkEnd w:id="309"/>
      <w:r>
        <w:rPr>
          <w:rFonts w:ascii="Arial" w:hAnsi="Arial" w:cs="Arial" w:eastAsia="Arial"/>
          <w:sz w:val="22"/>
        </w:rPr>
        <w:t>O</w:t>
      </w:r>
      <w:r>
        <w:rPr>
          <w:rFonts w:ascii="Arial" w:hAnsi="Arial" w:cs="Arial" w:eastAsia="Arial"/>
          <w:sz w:val="18"/>
        </w:rPr>
        <w:t>THER </w:t>
      </w:r>
      <w:r>
        <w:rPr>
          <w:rFonts w:ascii="Arial" w:hAnsi="Arial" w:cs="Arial" w:eastAsia="Arial"/>
          <w:sz w:val="22"/>
        </w:rPr>
        <w:t xml:space="preserve">  S</w:t>
      </w:r>
      <w:r>
        <w:rPr>
          <w:rFonts w:ascii="Arial" w:hAnsi="Arial" w:cs="Arial" w:eastAsia="Arial"/>
          <w:sz w:val="18"/>
        </w:rPr>
        <w:t>AFETY</w:t>
      </w:r>
      <w:r>
        <w:rPr>
          <w:rFonts w:ascii="Arial" w:hAnsi="Arial" w:cs="Arial" w:eastAsia="Arial"/>
          <w:spacing w:val="-9"/>
          <w:sz w:val="18"/>
        </w:rPr>
        <w:t xml:space="preserve">  </w:t>
      </w:r>
      <w:r>
        <w:rPr>
          <w:rFonts w:ascii="Arial" w:hAnsi="Arial" w:cs="Arial" w:eastAsia="Arial"/>
          <w:sz w:val="22"/>
        </w:rPr>
        <w:t xml:space="preserve">  A</w:t>
      </w:r>
      <w:r>
        <w:rPr>
          <w:rFonts w:ascii="Arial" w:hAnsi="Arial" w:cs="Arial" w:eastAsia="Arial"/>
          <w:sz w:val="18"/>
        </w:rPr>
        <w:t>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Proportion</w:t>
      </w:r>
      <w:r>
        <w:rPr>
          <w:rFonts w:ascii="Arial" w:hAnsi="Arial" w:cs="Arial" w:eastAsia="Arial"/>
          <w:spacing w:val="-4"/>
        </w:rPr>
        <w:t xml:space="preserve">  </w:t>
      </w:r>
      <w:r>
        <w:rPr>
          <w:rFonts w:ascii="Arial" w:hAnsi="Arial" w:cs="Arial" w:eastAsia="Arial"/>
        </w:rPr>
        <w:t xml:space="preserve">  of</w:t>
      </w:r>
      <w:r>
        <w:rPr>
          <w:rFonts w:ascii="Arial" w:hAnsi="Arial" w:cs="Arial" w:eastAsia="Arial"/>
          <w:spacing w:val="-4"/>
        </w:rPr>
        <w:t xml:space="preserve">  </w:t>
      </w:r>
      <w:r>
        <w:rPr>
          <w:rFonts w:ascii="Arial" w:hAnsi="Arial" w:cs="Arial" w:eastAsia="Arial"/>
        </w:rPr>
        <w:t xml:space="preserve">  subjects</w:t>
      </w:r>
      <w:r>
        <w:rPr>
          <w:rFonts w:ascii="Arial" w:hAnsi="Arial" w:cs="Arial" w:eastAsia="Arial"/>
          <w:spacing w:val="-3"/>
        </w:rPr>
        <w:t xml:space="preserve">  </w:t>
      </w:r>
      <w:r>
        <w:rPr>
          <w:rFonts w:ascii="Arial" w:hAnsi="Arial" w:cs="Arial" w:eastAsia="Arial"/>
        </w:rPr>
        <w:t xml:space="preserve">  with</w:t>
      </w:r>
      <w:r>
        <w:rPr>
          <w:rFonts w:ascii="Arial" w:hAnsi="Arial" w:cs="Arial" w:eastAsia="Arial"/>
          <w:spacing w:val="-4"/>
        </w:rPr>
        <w:t xml:space="preserve">  </w:t>
      </w:r>
      <w:r>
        <w:rPr>
          <w:rFonts w:ascii="Arial" w:hAnsi="Arial" w:cs="Arial" w:eastAsia="Arial"/>
        </w:rPr>
        <w:t xml:space="preserve">  any</w:t>
      </w:r>
      <w:r>
        <w:rPr>
          <w:rFonts w:ascii="Arial" w:hAnsi="Arial" w:cs="Arial" w:eastAsia="Arial"/>
          <w:spacing w:val="-7"/>
        </w:rPr>
        <w:t xml:space="preserve">  </w:t>
      </w:r>
      <w:r>
        <w:rPr>
          <w:rFonts w:ascii="Arial" w:hAnsi="Arial" w:cs="Arial" w:eastAsia="Arial"/>
        </w:rPr>
        <w:t xml:space="preserve">  treatment-emergent</w:t>
      </w:r>
      <w:r>
        <w:rPr>
          <w:rFonts w:ascii="Arial" w:hAnsi="Arial" w:cs="Arial" w:eastAsia="Arial"/>
          <w:spacing w:val="-3"/>
        </w:rPr>
        <w:t xml:space="preserve">  </w:t>
      </w:r>
      <w:r>
        <w:rPr>
          <w:rFonts w:ascii="Arial" w:hAnsi="Arial" w:cs="Arial" w:eastAsia="Arial"/>
        </w:rPr>
        <w:t xml:space="preserve">  report</w:t>
      </w:r>
      <w:r>
        <w:rPr>
          <w:rFonts w:ascii="Arial" w:hAnsi="Arial" w:cs="Arial" w:eastAsia="Arial"/>
          <w:spacing w:val="-5"/>
        </w:rPr>
        <w:t xml:space="preserve">  </w:t>
      </w:r>
      <w:r>
        <w:rPr>
          <w:rFonts w:ascii="Arial" w:hAnsi="Arial" w:cs="Arial" w:eastAsia="Arial"/>
        </w:rPr>
        <w:t xml:space="preserve">  of</w:t>
      </w:r>
      <w:r>
        <w:rPr>
          <w:rFonts w:ascii="Arial" w:hAnsi="Arial" w:cs="Arial" w:eastAsia="Arial"/>
          <w:spacing w:val="-4"/>
        </w:rPr>
        <w:t xml:space="preserve">  </w:t>
      </w:r>
      <w:r>
        <w:rPr>
          <w:rFonts w:ascii="Arial" w:hAnsi="Arial" w:cs="Arial" w:eastAsia="Arial"/>
        </w:rPr>
        <w:t xml:space="preserve">  suicidal</w:t>
      </w:r>
      <w:r>
        <w:rPr>
          <w:rFonts w:ascii="Arial" w:hAnsi="Arial" w:cs="Arial" w:eastAsia="Arial"/>
          <w:spacing w:val="-5"/>
        </w:rPr>
        <w:t xml:space="preserve">  </w:t>
      </w:r>
      <w:r>
        <w:rPr>
          <w:rFonts w:ascii="Arial" w:hAnsi="Arial" w:cs="Arial" w:eastAsia="Arial"/>
        </w:rPr>
        <w:t xml:space="preserve">  ideation</w:t>
      </w:r>
      <w:r>
        <w:rPr>
          <w:rFonts w:ascii="Arial" w:hAnsi="Arial" w:cs="Arial" w:eastAsia="Arial"/>
          <w:spacing w:val="-3"/>
        </w:rPr>
        <w:t xml:space="preserve">  </w:t>
      </w:r>
      <w:r>
        <w:rPr>
          <w:rFonts w:ascii="Arial" w:hAnsi="Arial" w:cs="Arial" w:eastAsia="Arial"/>
        </w:rPr>
        <w:t xml:space="preserve">  and</w:t>
      </w:r>
      <w:r>
        <w:rPr>
          <w:rFonts w:ascii="Arial" w:hAnsi="Arial" w:cs="Arial" w:eastAsia="Arial"/>
          <w:spacing w:val="-4"/>
        </w:rPr>
        <w:t xml:space="preserve">  </w:t>
      </w:r>
      <w:r>
        <w:rPr>
          <w:rFonts w:ascii="Arial" w:hAnsi="Arial" w:cs="Arial" w:eastAsia="Arial"/>
        </w:rPr>
        <w:t xml:space="preserve">  behavior and intensity of these behaviors will be</w:t>
      </w:r>
      <w:r>
        <w:rPr>
          <w:rFonts w:ascii="Arial" w:hAnsi="Arial" w:cs="Arial" w:eastAsia="Arial"/>
          <w:spacing w:val="-7"/>
        </w:rPr>
        <w:t xml:space="preserve">  </w:t>
      </w:r>
      <w:r>
        <w:rPr>
          <w:rFonts w:ascii="Arial" w:hAnsi="Arial" w:cs="Arial" w:eastAsia="Arial"/>
        </w:rPr>
        <w:t xml:space="preserve">  summarized.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4"/>
        </w:numPr>
        <w:tabs>
          <w:tab w:pos="1199" w:val="left" w:leader="none"/>
          <w:tab w:pos="1200" w:val="left" w:leader="none"/>
        </w:tabs>
        <w:spacing w:line="240" w:lineRule="auto" w:before="1" w:after="0"/>
        <w:ind w:left="1200" w:right="0" w:hanging="960"/>
        <w:jc w:val="left"/>
        <w:rPr>
          <w:rFonts w:ascii="Arial"/>
          <w:sz w:val="24"/>
        </w:rPr>
      </w:pPr>
      <w:bookmarkStart w:name="9.7.2 Determination of Sample Size" w:id="310"/>
      <w:bookmarkEnd w:id="310"/>
      <w:r>
        <w:rPr>
          <w:rFonts w:ascii="Arial" w:hAnsi="Arial" w:cs="Arial" w:eastAsia="Arial"/>
        </w:rPr>
      </w:r>
      <w:bookmarkStart w:name="_bookmark116" w:id="311"/>
      <w:bookmarkEnd w:id="311"/>
      <w:r>
        <w:rPr>
          <w:rFonts w:ascii="Arial" w:hAnsi="Arial" w:cs="Arial" w:eastAsia="Arial"/>
        </w:rPr>
      </w:r>
      <w:bookmarkStart w:name="_bookmark116" w:id="312"/>
      <w:bookmarkEnd w:id="312"/>
      <w:r>
        <w:rPr>
          <w:rFonts w:ascii="Arial" w:hAnsi="Arial" w:cs="Arial" w:eastAsia="Arial"/>
          <w:sz w:val="24"/>
        </w:rPr>
        <w:t>Determinatio</w:t>
      </w:r>
      <w:r>
        <w:rPr>
          <w:rFonts w:ascii="Arial" w:hAnsi="Arial" w:cs="Arial" w:eastAsia="Arial"/>
          <w:sz w:val="24"/>
        </w:rPr>
        <w:t>n of Sample</w:t>
      </w:r>
      <w:r>
        <w:rPr>
          <w:rFonts w:ascii="Arial" w:hAnsi="Arial" w:cs="Arial" w:eastAsia="Arial"/>
          <w:spacing w:val="-3"/>
          <w:sz w:val="24"/>
        </w:rPr>
        <w:t xml:space="preserve">  </w:t>
      </w:r>
      <w:r>
        <w:rPr>
          <w:rFonts w:ascii="Arial" w:hAnsi="Arial" w:cs="Arial" w:eastAsia="Arial"/>
          <w:sz w:val="24"/>
        </w:rPr>
        <w:t xml:space="preserve">  Size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248"/>
      </w:pPr>
      <w:r>
        <w:rPr>
          <w:rFonts w:ascii="Arial" w:hAnsi="Arial" w:cs="Arial" w:eastAsia="Arial"/>
        </w:rPr>
        <w:t>Approximately 9 subjects with photosensitive epilepsy and a stable PPR will be needed to be randomized in the study in order to obtain 6 evaluable subjects. Based on a similar study in subjects with photosensitive epilepsy (NCT02564029), an estimated standard deviation of the treatment group difference of the SPR in the subject’s most sensitive eye condition is 3.62.</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423"/>
      </w:pPr>
      <w:r>
        <w:rPr>
          <w:rFonts w:ascii="Arial" w:hAnsi="Arial" w:cs="Arial" w:eastAsia="Arial"/>
        </w:rPr>
        <w:t>The width of a 90% CI of the mean group difference based on this standard deviation assumption and 6 subjects is 2.431. Therefore, a sample size of 6 would be sufficient to detect a mean group difference of 3 or larger with 90% confidence.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4"/>
        </w:numPr>
        <w:tabs>
          <w:tab w:pos="1199" w:val="left" w:leader="none"/>
          <w:tab w:pos="1200" w:val="left" w:leader="none"/>
        </w:tabs>
        <w:spacing w:line="240" w:lineRule="auto" w:before="0" w:after="0"/>
        <w:ind w:left="1200" w:right="0" w:hanging="960"/>
        <w:jc w:val="left"/>
        <w:rPr>
          <w:rFonts w:ascii="Arial"/>
          <w:sz w:val="24"/>
        </w:rPr>
      </w:pPr>
      <w:bookmarkStart w:name="9.7.3 Interim Analysis" w:id="313"/>
      <w:bookmarkEnd w:id="313"/>
      <w:r>
        <w:rPr>
          <w:rFonts w:ascii="Arial" w:hAnsi="Arial" w:cs="Arial" w:eastAsia="Arial"/>
        </w:rPr>
      </w:r>
      <w:bookmarkStart w:name="_bookmark117" w:id="314"/>
      <w:bookmarkEnd w:id="314"/>
      <w:r>
        <w:rPr>
          <w:rFonts w:ascii="Arial" w:hAnsi="Arial" w:cs="Arial" w:eastAsia="Arial"/>
        </w:rPr>
      </w:r>
      <w:bookmarkStart w:name="_bookmark117" w:id="315"/>
      <w:bookmarkEnd w:id="315"/>
      <w:r>
        <w:rPr>
          <w:rFonts w:ascii="Arial" w:hAnsi="Arial" w:cs="Arial" w:eastAsia="Arial"/>
          <w:sz w:val="24"/>
        </w:rPr>
        <w:t>Interi</w:t>
      </w:r>
      <w:r>
        <w:rPr>
          <w:rFonts w:ascii="Arial" w:hAnsi="Arial" w:cs="Arial" w:eastAsia="Arial"/>
          <w:sz w:val="24"/>
        </w:rPr>
        <w:t>m</w:t>
      </w:r>
      <w:r>
        <w:rPr>
          <w:rFonts w:ascii="Arial" w:hAnsi="Arial" w:cs="Arial" w:eastAsia="Arial"/>
          <w:spacing w:val="-2"/>
          <w:sz w:val="24"/>
        </w:rPr>
        <w:t xml:space="preserve">  </w:t>
      </w:r>
      <w:r>
        <w:rPr>
          <w:rFonts w:ascii="Arial" w:hAnsi="Arial" w:cs="Arial" w:eastAsia="Arial"/>
          <w:sz w:val="24"/>
        </w:rPr>
        <w:t xml:space="preserve">  Analysis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pPr>
      <w:r>
        <w:rPr>
          <w:rFonts w:ascii="Arial" w:hAnsi="Arial" w:cs="Arial" w:eastAsia="Arial"/>
        </w:rPr>
        <w:t>No formal interim analysis is planned.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4"/>
        </w:numPr>
        <w:tabs>
          <w:tab w:pos="1199" w:val="left" w:leader="none"/>
          <w:tab w:pos="1200" w:val="left" w:leader="none"/>
        </w:tabs>
        <w:spacing w:line="240" w:lineRule="auto" w:before="0" w:after="0"/>
        <w:ind w:left="1200" w:right="0" w:hanging="960"/>
        <w:jc w:val="left"/>
        <w:rPr>
          <w:rFonts w:ascii="Arial"/>
          <w:sz w:val="24"/>
        </w:rPr>
      </w:pPr>
      <w:bookmarkStart w:name="9.7.4 Other Statistical/Analytical Issue" w:id="316"/>
      <w:bookmarkEnd w:id="316"/>
      <w:r>
        <w:rPr>
          <w:rFonts w:ascii="Arial" w:hAnsi="Arial" w:cs="Arial" w:eastAsia="Arial"/>
        </w:rPr>
      </w:r>
      <w:bookmarkStart w:name="_bookmark118" w:id="317"/>
      <w:bookmarkEnd w:id="317"/>
      <w:r>
        <w:rPr>
          <w:rFonts w:ascii="Arial" w:hAnsi="Arial" w:cs="Arial" w:eastAsia="Arial"/>
        </w:rPr>
      </w:r>
      <w:bookmarkStart w:name="_bookmark118" w:id="318"/>
      <w:bookmarkEnd w:id="318"/>
      <w:r>
        <w:rPr>
          <w:rFonts w:ascii="Arial" w:hAnsi="Arial" w:cs="Arial" w:eastAsia="Arial"/>
          <w:sz w:val="24"/>
        </w:rPr>
        <w:t>Other</w:t>
      </w:r>
      <w:r>
        <w:rPr>
          <w:rFonts w:ascii="Arial" w:hAnsi="Arial" w:cs="Arial" w:eastAsia="Arial"/>
          <w:sz w:val="24"/>
        </w:rPr>
        <w:t xml:space="preserve">  Statistical/Analytical Issues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Pr>
          <w:i/>
        </w:rPr>
      </w:pPr>
      <w:r>
        <w:rPr>
          <w:rFonts w:ascii="Arial" w:hAnsi="Arial" w:cs="Arial" w:eastAsia="Arial"/>
        </w:rPr>
        <w:t>Not applicable</w:t>
      </w:r>
      <w:r>
        <w:rPr>
          <w:rFonts w:ascii="Arial" w:hAnsi="Arial" w:cs="Arial" w:eastAsia="Arial"/>
          <w:i/>
          <w:color w:val="009900"/>
        </w:rPr>
        <w: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i/>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2"/>
          <w:numId w:val="14"/>
        </w:numPr>
        <w:tabs>
          <w:tab w:pos="1199" w:val="left" w:leader="none"/>
          <w:tab w:pos="1200" w:val="left" w:leader="none"/>
        </w:tabs>
        <w:spacing w:line="240" w:lineRule="auto" w:before="1" w:after="0"/>
        <w:ind w:left="1200" w:right="0" w:hanging="960"/>
        <w:jc w:val="left"/>
        <w:rPr>
          <w:rFonts w:ascii="Arial"/>
          <w:sz w:val="24"/>
        </w:rPr>
      </w:pPr>
      <w:bookmarkStart w:name="9.7.5 Procedure for Revising the Statist" w:id="319"/>
      <w:bookmarkEnd w:id="319"/>
      <w:r>
        <w:rPr>
          <w:rFonts w:ascii="Arial" w:hAnsi="Arial" w:cs="Arial" w:eastAsia="Arial"/>
        </w:rPr>
      </w:r>
      <w:bookmarkStart w:name="_bookmark119" w:id="320"/>
      <w:bookmarkEnd w:id="320"/>
      <w:r>
        <w:rPr>
          <w:rFonts w:ascii="Arial" w:hAnsi="Arial" w:cs="Arial" w:eastAsia="Arial"/>
        </w:rPr>
      </w:r>
      <w:bookmarkStart w:name="_bookmark119" w:id="321"/>
      <w:bookmarkEnd w:id="321"/>
      <w:r>
        <w:rPr>
          <w:rFonts w:ascii="Arial" w:hAnsi="Arial" w:cs="Arial" w:eastAsia="Arial"/>
          <w:sz w:val="24"/>
        </w:rPr>
        <w:t>Procedure</w:t>
      </w:r>
      <w:r>
        <w:rPr>
          <w:rFonts w:ascii="Arial" w:hAnsi="Arial" w:cs="Arial" w:eastAsia="Arial"/>
          <w:sz w:val="24"/>
        </w:rPr>
        <w:t xml:space="preserve">  for Revising the Statistical Analysis</w:t>
      </w:r>
      <w:r>
        <w:rPr>
          <w:rFonts w:ascii="Arial" w:hAnsi="Arial" w:cs="Arial" w:eastAsia="Arial"/>
          <w:spacing w:val="-1"/>
          <w:sz w:val="24"/>
        </w:rPr>
        <w:t xml:space="preserve">  </w:t>
      </w:r>
      <w:r>
        <w:rPr>
          <w:rFonts w:ascii="Arial" w:hAnsi="Arial" w:cs="Arial" w:eastAsia="Arial"/>
          <w:sz w:val="24"/>
        </w:rPr>
        <w:t xml:space="preserve">  Plan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257"/>
        <w:jc w:val="both"/>
      </w:pPr>
      <w:r>
        <w:rPr>
          <w:rFonts w:ascii="Arial" w:hAnsi="Arial" w:cs="Arial" w:eastAsia="Arial"/>
        </w:rPr>
        <w:t>If the SAP needs to be revised after the study starts, the sponsor will determine how the revision impacts the study and how the revision should be implemented. The details of the revision will be documented and described in the clinical study report.</w:t>
      </w:r>
    </w:p>
    <w:p>
      <w:r>
        <w:cr/>
      </w:r>
    </w:p>
    <w:p>
      <w:pPr>
        <w:pStyle w:val="Heading3"/>
        <w:keepNext w:val="on"/>
        <w:ind w:left="3"/>
      </w:pPr>
      <w:r>
        <w:rPr>
          <w:rFonts w:ascii="Arial" w:hAnsi="Arial" w:cs="Arial" w:eastAsia="Arial"/>
          <w:b w:val="true"/>
          <w:sz w:val="22"/>
        </w:rPr>
        <w:t xml:space="preserve">    9.7.1 </w:t>
        <w:t>STATISTICAL AND ANALYTICAL PLANS</w:t>
      </w:r>
      <w:bookmarkStart w:name="_STATISTICAL_AND_ANALYTICAL_PLANS" w:id="1287"/>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36"/>
      </w:pPr>
      <w:r>
        <w:rPr>
          <w:rFonts w:ascii="Arial" w:hAnsi="Arial" w:cs="Arial" w:eastAsia="Arial"/>
        </w:rPr>
        <w:t>The statistical analyses of study data are described in this section. Further details of the analytical plan will be provided in the SAP, which will be finalized before database lock and treatment unblinding.</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85" w:after="0"/>
        <w:ind w:left="1440" w:right="0" w:hanging="1200"/>
        <w:jc w:val="left"/>
        <w:rPr>
          <w:rFonts w:ascii="Arial"/>
          <w:sz w:val="22"/>
        </w:rPr>
      </w:pPr>
      <w:bookmarkStart w:name="9.7.1.1 Study Endpoints" w:id="266"/>
      <w:bookmarkEnd w:id="266"/>
      <w:r>
        <w:rPr>
          <w:rFonts w:ascii="Arial" w:hAnsi="Arial" w:cs="Arial" w:eastAsia="Arial"/>
        </w:rPr>
      </w:r>
      <w:bookmarkStart w:name="_bookmark98" w:id="267"/>
      <w:bookmarkEnd w:id="267"/>
      <w:r>
        <w:rPr>
          <w:rFonts w:ascii="Arial" w:hAnsi="Arial" w:cs="Arial" w:eastAsia="Arial"/>
        </w:rPr>
      </w:r>
      <w:bookmarkStart w:name="_bookmark98" w:id="268"/>
      <w:bookmarkEnd w:id="268"/>
      <w:r>
        <w:rPr>
          <w:rFonts w:ascii="Arial" w:hAnsi="Arial" w:cs="Arial" w:eastAsia="Arial"/>
          <w:sz w:val="22"/>
        </w:rPr>
        <w:t>Stud</w:t>
      </w:r>
      <w:r>
        <w:rPr>
          <w:rFonts w:ascii="Arial" w:hAnsi="Arial" w:cs="Arial" w:eastAsia="Arial"/>
          <w:sz w:val="22"/>
        </w:rPr>
        <w:t>y</w:t>
      </w:r>
      <w:r>
        <w:rPr>
          <w:rFonts w:ascii="Arial" w:hAnsi="Arial" w:cs="Arial" w:eastAsia="Arial"/>
          <w:spacing w:val="-2"/>
          <w:sz w:val="22"/>
        </w:rPr>
        <w:t xml:space="preserve">  </w:t>
      </w:r>
      <w:r>
        <w:rPr>
          <w:rFonts w:ascii="Arial" w:hAnsi="Arial" w:cs="Arial" w:eastAsia="Arial"/>
          <w:sz w:val="22"/>
        </w:rPr>
        <w:t xml:space="preserve">  Endpoints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423"/>
      </w:pPr>
      <w:r>
        <w:rPr>
          <w:rFonts w:ascii="Arial" w:hAnsi="Arial" w:cs="Arial" w:eastAsia="Arial"/>
        </w:rPr>
        <w:t>The reduction in PPR response will be evaluated for 8 hours postdose for the entire time period. A diminution in response is anticipated with the dose range. A statistical difference of treatment doses versus placebo will be evaluated.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416"/>
      </w:pPr>
      <w:r>
        <w:rPr>
          <w:rFonts w:ascii="Arial" w:hAnsi="Arial" w:cs="Arial" w:eastAsia="Arial"/>
        </w:rPr>
        <w:t>The primary endpoint, the change in the PPR range, is evaluated using mixed effects model for comparing low and high treatment doses versus placebo. Another endpoint will include proportions of subjects responding to treatment versus placebo. Most patients have strong responses to effective treatments compared to placebo, which can be evaluated by graphs of partial response (ie, 3 steps narrowing) and abolition of PPR.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5"/>
        </w:numPr>
        <w:tabs>
          <w:tab w:pos="1435" w:val="left" w:leader="none"/>
          <w:tab w:pos="1436" w:val="left" w:leader="none"/>
        </w:tabs>
        <w:spacing w:line="240" w:lineRule="auto" w:before="0" w:after="0"/>
        <w:ind w:left="1435" w:right="0" w:hanging="1196"/>
        <w:jc w:val="left"/>
        <w:rPr>
          <w:rFonts w:ascii="Arial"/>
          <w:sz w:val="18"/>
        </w:rPr>
      </w:pPr>
      <w:bookmarkStart w:name="_bookmark99" w:id="269"/>
      <w:bookmarkEnd w:id="269"/>
      <w:r>
        <w:rPr>
          <w:rFonts w:ascii="Arial" w:hAnsi="Arial" w:cs="Arial" w:eastAsia="Arial"/>
        </w:rPr>
      </w:r>
      <w:bookmarkStart w:name="_bookmark99" w:id="270"/>
      <w:bookmarkEnd w:id="270"/>
      <w:r>
        <w:rPr>
          <w:rFonts w:ascii="Arial" w:hAnsi="Arial" w:cs="Arial" w:eastAsia="Arial"/>
          <w:sz w:val="22"/>
        </w:rPr>
        <w:t>P</w:t>
      </w:r>
      <w:r>
        <w:rPr>
          <w:rFonts w:ascii="Arial" w:hAnsi="Arial" w:cs="Arial" w:eastAsia="Arial"/>
          <w:sz w:val="18"/>
        </w:rPr>
        <w:t>RIMARY</w:t>
      </w:r>
      <w:r>
        <w:rPr>
          <w:rFonts w:ascii="Arial" w:hAnsi="Arial" w:cs="Arial" w:eastAsia="Arial"/>
          <w:spacing w:val="-1"/>
          <w:sz w:val="18"/>
        </w:rPr>
        <w:t xml:space="preserve">  </w:t>
      </w:r>
      <w:r>
        <w:rPr>
          <w:rFonts w:ascii="Arial" w:hAnsi="Arial" w:cs="Arial" w:eastAsia="Arial"/>
          <w:sz w:val="22"/>
        </w:rPr>
        <w:t xml:space="preserve">  E</w:t>
      </w:r>
      <w:r>
        <w:rPr>
          <w:rFonts w:ascii="Arial" w:hAnsi="Arial" w:cs="Arial" w:eastAsia="Arial"/>
          <w:sz w:val="18"/>
        </w:rPr>
        <w:t>NDPOINT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708"/>
      </w:pPr>
      <w:r>
        <w:rPr>
          <w:rFonts w:ascii="Arial" w:hAnsi="Arial" w:cs="Arial" w:eastAsia="Arial"/>
        </w:rPr>
        <w:t>The primary endpoint of this study is the mean change from baseline in the PPR range in each subject’s most sensitive eye condition at each dose level of E2730 as compared to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5"/>
        </w:numPr>
        <w:tabs>
          <w:tab w:pos="1435" w:val="left" w:leader="none"/>
          <w:tab w:pos="1436" w:val="left" w:leader="none"/>
        </w:tabs>
        <w:spacing w:line="240" w:lineRule="auto" w:before="0" w:after="0"/>
        <w:ind w:left="1435" w:right="0" w:hanging="1196"/>
        <w:jc w:val="left"/>
        <w:rPr>
          <w:rFonts w:ascii="Arial"/>
          <w:sz w:val="18"/>
        </w:rPr>
      </w:pPr>
      <w:bookmarkStart w:name="_bookmark100" w:id="271"/>
      <w:bookmarkEnd w:id="271"/>
      <w:r>
        <w:rPr>
          <w:rFonts w:ascii="Arial" w:hAnsi="Arial" w:cs="Arial" w:eastAsia="Arial"/>
        </w:rPr>
      </w:r>
      <w:bookmarkStart w:name="_bookmark100" w:id="272"/>
      <w:bookmarkEnd w:id="272"/>
      <w:r>
        <w:rPr>
          <w:rFonts w:ascii="Arial" w:hAnsi="Arial" w:cs="Arial" w:eastAsia="Arial"/>
          <w:sz w:val="22"/>
        </w:rPr>
        <w:t>S</w:t>
      </w:r>
      <w:r>
        <w:rPr>
          <w:rFonts w:ascii="Arial" w:hAnsi="Arial" w:cs="Arial" w:eastAsia="Arial"/>
          <w:sz w:val="18"/>
        </w:rPr>
        <w:t>ECONDARY</w:t>
      </w:r>
      <w:r>
        <w:rPr>
          <w:rFonts w:ascii="Arial" w:hAnsi="Arial" w:cs="Arial" w:eastAsia="Arial"/>
          <w:spacing w:val="-2"/>
          <w:sz w:val="18"/>
        </w:rPr>
        <w:t xml:space="preserve">  </w:t>
      </w:r>
      <w:r>
        <w:rPr>
          <w:rFonts w:ascii="Arial" w:hAnsi="Arial" w:cs="Arial" w:eastAsia="Arial"/>
          <w:sz w:val="22"/>
        </w:rPr>
        <w:t xml:space="preserve">  E</w:t>
      </w:r>
      <w:r>
        <w:rPr>
          <w:rFonts w:ascii="Arial" w:hAnsi="Arial" w:cs="Arial" w:eastAsia="Arial"/>
          <w:sz w:val="18"/>
        </w:rPr>
        <w:t>NDPOINTS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0" w:after="0"/>
        <w:ind w:left="597" w:right="643" w:hanging="358"/>
        <w:jc w:val="left"/>
        <w:rPr>
          <w:sz w:val="24"/>
        </w:rPr>
      </w:pPr>
      <w:r>
        <w:rPr>
          <w:rFonts w:ascii="Arial" w:hAnsi="Arial" w:cs="Arial" w:eastAsia="Arial"/>
          <w:sz w:val="24"/>
        </w:rPr>
        <w:t>Mean changes from baseline in PPR ranges in each subject’s eye closure, eyes closed, and eyes open condition at each dose level of E2730 as compared to</w:t>
      </w:r>
      <w:r>
        <w:rPr>
          <w:rFonts w:ascii="Arial" w:hAnsi="Arial" w:cs="Arial" w:eastAsia="Arial"/>
          <w:spacing w:val="-2"/>
          <w:sz w:val="24"/>
        </w:rPr>
        <w:t xml:space="preserve">  </w:t>
      </w:r>
      <w:r>
        <w:rPr>
          <w:rFonts w:ascii="Arial" w:hAnsi="Arial" w:cs="Arial" w:eastAsia="Arial"/>
          <w:sz w:val="24"/>
        </w:rPr>
        <w:t xml:space="preserve">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0" w:after="0"/>
        <w:ind w:left="597" w:right="423" w:hanging="358"/>
        <w:jc w:val="left"/>
        <w:rPr>
          <w:sz w:val="24"/>
        </w:rPr>
      </w:pPr>
      <w:r>
        <w:rPr>
          <w:rFonts w:ascii="Arial" w:hAnsi="Arial" w:cs="Arial" w:eastAsia="Arial"/>
          <w:sz w:val="24"/>
        </w:rPr>
        <w:t>Onset, maximum change, and duration of photosensitivity response at each dose level in all 3 eye conditions at the time course of E2730 as compared to</w:t>
      </w:r>
      <w:r>
        <w:rPr>
          <w:rFonts w:ascii="Arial" w:hAnsi="Arial" w:cs="Arial" w:eastAsia="Arial"/>
          <w:spacing w:val="-5"/>
          <w:sz w:val="24"/>
        </w:rPr>
        <w:t xml:space="preserve">  </w:t>
      </w:r>
      <w:r>
        <w:rPr>
          <w:rFonts w:ascii="Arial" w:hAnsi="Arial" w:cs="Arial" w:eastAsia="Arial"/>
          <w:sz w:val="24"/>
        </w:rPr>
        <w:t xml:space="preserve">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0" w:after="0"/>
        <w:ind w:left="597" w:right="385" w:hanging="358"/>
        <w:jc w:val="left"/>
        <w:rPr>
          <w:sz w:val="24"/>
        </w:rPr>
      </w:pPr>
      <w:r>
        <w:rPr>
          <w:rFonts w:ascii="Arial" w:hAnsi="Arial" w:cs="Arial" w:eastAsia="Arial"/>
          <w:sz w:val="24"/>
        </w:rPr>
        <w:t>Frequency and percentage of subjects with Complete Suppression, Partial Response,</w:t>
      </w:r>
      <w:r>
        <w:rPr>
          <w:rFonts w:ascii="Arial" w:hAnsi="Arial" w:cs="Arial" w:eastAsia="Arial"/>
          <w:spacing w:val="-35"/>
          <w:sz w:val="24"/>
        </w:rPr>
        <w:t xml:space="preserve">  </w:t>
      </w:r>
      <w:r>
        <w:rPr>
          <w:rFonts w:ascii="Arial" w:hAnsi="Arial" w:cs="Arial" w:eastAsia="Arial"/>
          <w:sz w:val="24"/>
        </w:rPr>
        <w:t xml:space="preserve">  and no Response of PPR at each dose level of E2730 as compared to</w:t>
      </w:r>
      <w:r>
        <w:rPr>
          <w:rFonts w:ascii="Arial" w:hAnsi="Arial" w:cs="Arial" w:eastAsia="Arial"/>
          <w:spacing w:val="-14"/>
          <w:sz w:val="24"/>
        </w:rPr>
        <w:t xml:space="preserve">  </w:t>
      </w:r>
      <w:r>
        <w:rPr>
          <w:rFonts w:ascii="Arial" w:hAnsi="Arial" w:cs="Arial" w:eastAsia="Arial"/>
          <w:sz w:val="24"/>
        </w:rPr>
        <w:t xml:space="preserve">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1" w:after="0"/>
        <w:ind w:left="597" w:right="876" w:hanging="358"/>
        <w:jc w:val="left"/>
        <w:rPr>
          <w:sz w:val="24"/>
        </w:rPr>
      </w:pPr>
      <w:r>
        <w:rPr>
          <w:rFonts w:ascii="Arial" w:hAnsi="Arial" w:cs="Arial" w:eastAsia="Arial"/>
          <w:sz w:val="24"/>
        </w:rPr>
        <w:t>Occurrence of AEs or changes in the neurological examination after single doses of E2730 compared to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1" w:after="0"/>
        <w:ind w:left="597" w:right="466" w:hanging="358"/>
        <w:jc w:val="left"/>
        <w:rPr>
          <w:sz w:val="24"/>
        </w:rPr>
      </w:pPr>
      <w:r>
        <w:rPr>
          <w:rFonts w:ascii="Arial" w:hAnsi="Arial" w:cs="Arial" w:eastAsia="Arial"/>
          <w:sz w:val="24"/>
        </w:rPr>
        <w:t>Changes in vital signs, serum chemistries, complete blood counts, or liver function tests after single doses of E2730 compared to</w:t>
      </w:r>
      <w:r>
        <w:rPr>
          <w:rFonts w:ascii="Arial" w:hAnsi="Arial" w:cs="Arial" w:eastAsia="Arial"/>
          <w:spacing w:val="-5"/>
          <w:sz w:val="24"/>
        </w:rPr>
        <w:t xml:space="preserve">  </w:t>
      </w:r>
      <w:r>
        <w:rPr>
          <w:rFonts w:ascii="Arial" w:hAnsi="Arial" w:cs="Arial" w:eastAsia="Arial"/>
          <w:sz w:val="24"/>
        </w:rPr>
        <w:t xml:space="preserve">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1" w:after="0"/>
        <w:ind w:left="597" w:right="0" w:hanging="358"/>
        <w:jc w:val="left"/>
        <w:rPr>
          <w:sz w:val="24"/>
        </w:rPr>
      </w:pPr>
      <w:r>
        <w:rPr>
          <w:rFonts w:ascii="Arial" w:hAnsi="Arial" w:cs="Arial" w:eastAsia="Arial"/>
          <w:sz w:val="24"/>
        </w:rPr>
        <w:t>PK of E2730 and its N-acetyl metabolite,</w:t>
      </w:r>
      <w:r>
        <w:rPr>
          <w:rFonts w:ascii="Arial" w:hAnsi="Arial" w:cs="Arial" w:eastAsia="Arial"/>
          <w:spacing w:val="-2"/>
          <w:sz w:val="24"/>
        </w:rPr>
        <w:t xml:space="preserve">  </w:t>
      </w:r>
      <w:r>
        <w:rPr>
          <w:rFonts w:ascii="Arial" w:hAnsi="Arial" w:cs="Arial" w:eastAsia="Arial"/>
          <w:sz w:val="24"/>
        </w:rPr>
        <w:t xml:space="preserve">  M1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0"/>
          <w:numId w:val="26"/>
        </w:numPr>
        <w:tabs>
          <w:tab w:pos="597" w:val="left" w:leader="none"/>
          <w:tab w:pos="598" w:val="left" w:leader="none"/>
        </w:tabs>
        <w:spacing w:line="240" w:lineRule="auto" w:before="0" w:after="0"/>
        <w:ind w:left="597" w:right="416" w:hanging="358"/>
        <w:jc w:val="left"/>
        <w:rPr>
          <w:sz w:val="24"/>
        </w:rPr>
      </w:pPr>
      <w:r>
        <w:rPr>
          <w:rFonts w:ascii="Arial" w:hAnsi="Arial" w:cs="Arial" w:eastAsia="Arial"/>
          <w:sz w:val="24"/>
        </w:rPr>
        <w:t>Relationship between PK parameters of E2730 onset, maximum change, and duration of impact on photosensitivity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0" w:hanging="1200"/>
        <w:jc w:val="left"/>
        <w:rPr>
          <w:rFonts w:ascii="Arial"/>
          <w:sz w:val="22"/>
        </w:rPr>
      </w:pPr>
      <w:bookmarkStart w:name="9.7.1.2 Definitions of Analysis Sets" w:id="273"/>
      <w:bookmarkEnd w:id="273"/>
      <w:r>
        <w:rPr>
          <w:rFonts w:ascii="Arial" w:hAnsi="Arial" w:cs="Arial" w:eastAsia="Arial"/>
        </w:rPr>
      </w:r>
      <w:bookmarkStart w:name="_bookmark101" w:id="274"/>
      <w:bookmarkEnd w:id="274"/>
      <w:r>
        <w:rPr>
          <w:rFonts w:ascii="Arial" w:hAnsi="Arial" w:cs="Arial" w:eastAsia="Arial"/>
        </w:rPr>
      </w:r>
      <w:bookmarkStart w:name="_bookmark101" w:id="275"/>
      <w:bookmarkEnd w:id="275"/>
      <w:r>
        <w:rPr>
          <w:rFonts w:ascii="Arial" w:hAnsi="Arial" w:cs="Arial" w:eastAsia="Arial"/>
          <w:sz w:val="22"/>
        </w:rPr>
        <w:t>Definition</w:t>
      </w:r>
      <w:r>
        <w:rPr>
          <w:rFonts w:ascii="Arial" w:hAnsi="Arial" w:cs="Arial" w:eastAsia="Arial"/>
          <w:sz w:val="22"/>
        </w:rPr>
        <w:t>s of Analysis</w:t>
      </w:r>
      <w:r>
        <w:rPr>
          <w:rFonts w:ascii="Arial" w:hAnsi="Arial" w:cs="Arial" w:eastAsia="Arial"/>
          <w:spacing w:val="-4"/>
          <w:sz w:val="22"/>
        </w:rPr>
        <w:t xml:space="preserve">  </w:t>
      </w:r>
      <w:r>
        <w:rPr>
          <w:rFonts w:ascii="Arial" w:hAnsi="Arial" w:cs="Arial" w:eastAsia="Arial"/>
          <w:sz w:val="22"/>
        </w:rPr>
        <w:t xml:space="preserve">  Sets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255"/>
      </w:pPr>
      <w:r>
        <w:rPr>
          <w:rFonts w:ascii="Arial" w:hAnsi="Arial" w:cs="Arial" w:eastAsia="Arial"/>
        </w:rPr>
        <w:t>The Safety Analysis Set is the group of subjects who receive at least 1 dose of study drug and have at least 1 postdose safety assessment.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489"/>
      </w:pPr>
      <w:r>
        <w:rPr>
          <w:rFonts w:ascii="Arial" w:hAnsi="Arial" w:cs="Arial" w:eastAsia="Arial"/>
        </w:rPr>
        <w:t>The Pharmacokinetic Analysis Set is the group of randomized subjects who receive at least 1 dose of study drug and have sufficient PK data to derive at least 1 PK parameter.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315"/>
      </w:pPr>
      <w:r>
        <w:rPr>
          <w:rFonts w:ascii="Arial" w:hAnsi="Arial" w:cs="Arial" w:eastAsia="Arial"/>
        </w:rPr>
        <w:t>The Pharmacodynamic Analysis Set is the group of randomized subjects who receive at least 1 dose of study drug and have sufficient PD data to derive at least 1 PD parameter.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0" w:hanging="1200"/>
        <w:jc w:val="left"/>
        <w:rPr>
          <w:rFonts w:ascii="Arial"/>
          <w:sz w:val="22"/>
        </w:rPr>
      </w:pPr>
      <w:bookmarkStart w:name="9.7.1.3 Subject Disposition" w:id="276"/>
      <w:bookmarkEnd w:id="276"/>
      <w:r>
        <w:rPr>
          <w:rFonts w:ascii="Arial" w:hAnsi="Arial" w:cs="Arial" w:eastAsia="Arial"/>
        </w:rPr>
      </w:r>
      <w:bookmarkStart w:name="_bookmark102" w:id="277"/>
      <w:bookmarkEnd w:id="277"/>
      <w:r>
        <w:rPr>
          <w:rFonts w:ascii="Arial" w:hAnsi="Arial" w:cs="Arial" w:eastAsia="Arial"/>
        </w:rPr>
      </w:r>
      <w:bookmarkStart w:name="_bookmark102" w:id="278"/>
      <w:bookmarkEnd w:id="278"/>
      <w:r>
        <w:rPr>
          <w:rFonts w:ascii="Arial" w:hAnsi="Arial" w:cs="Arial" w:eastAsia="Arial"/>
          <w:sz w:val="22"/>
        </w:rPr>
        <w:t>Subjec</w:t>
      </w:r>
      <w:r>
        <w:rPr>
          <w:rFonts w:ascii="Arial" w:hAnsi="Arial" w:cs="Arial" w:eastAsia="Arial"/>
          <w:sz w:val="22"/>
        </w:rPr>
        <w:t>t</w:t>
      </w:r>
      <w:r>
        <w:rPr>
          <w:rFonts w:ascii="Arial" w:hAnsi="Arial" w:cs="Arial" w:eastAsia="Arial"/>
          <w:spacing w:val="-2"/>
          <w:sz w:val="22"/>
        </w:rPr>
        <w:t xml:space="preserve">  </w:t>
      </w:r>
      <w:r>
        <w:rPr>
          <w:rFonts w:ascii="Arial" w:hAnsi="Arial" w:cs="Arial" w:eastAsia="Arial"/>
          <w:sz w:val="22"/>
        </w:rPr>
        <w:t xml:space="preserve">  Disposition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The number of subjects screened and the number failing screening (overall and by reason for failure) will be summarized. Screen failure data will be listed. The number of subjects randomized along with the number of subjects administered each dose of E2730 will also be presented.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562"/>
      </w:pPr>
      <w:r>
        <w:rPr>
          <w:rFonts w:ascii="Arial" w:hAnsi="Arial" w:cs="Arial" w:eastAsia="Arial"/>
        </w:rPr>
        <w:t>Subjects who prematurely terminate their participation in the study will be summarized by their primary reason for study termination.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0" w:hanging="1200"/>
        <w:jc w:val="left"/>
        <w:rPr>
          <w:rFonts w:ascii="Arial"/>
          <w:sz w:val="22"/>
        </w:rPr>
      </w:pPr>
      <w:bookmarkStart w:name="9.7.1.4 Demographic and Other Baseline C" w:id="279"/>
      <w:bookmarkEnd w:id="279"/>
      <w:r>
        <w:rPr>
          <w:rFonts w:ascii="Arial" w:hAnsi="Arial" w:cs="Arial" w:eastAsia="Arial"/>
        </w:rPr>
      </w:r>
      <w:bookmarkStart w:name="_bookmark103" w:id="280"/>
      <w:bookmarkEnd w:id="280"/>
      <w:r>
        <w:rPr>
          <w:rFonts w:ascii="Arial" w:hAnsi="Arial" w:cs="Arial" w:eastAsia="Arial"/>
        </w:rPr>
      </w:r>
      <w:bookmarkStart w:name="_bookmark103" w:id="281"/>
      <w:bookmarkEnd w:id="281"/>
      <w:r>
        <w:rPr>
          <w:rFonts w:ascii="Arial" w:hAnsi="Arial" w:cs="Arial" w:eastAsia="Arial"/>
          <w:sz w:val="22"/>
        </w:rPr>
        <w:t>Demographi</w:t>
      </w:r>
      <w:r>
        <w:rPr>
          <w:rFonts w:ascii="Arial" w:hAnsi="Arial" w:cs="Arial" w:eastAsia="Arial"/>
          <w:sz w:val="22"/>
        </w:rPr>
        <w:t>c and Other Baseline</w:t>
      </w:r>
      <w:r>
        <w:rPr>
          <w:rFonts w:ascii="Arial" w:hAnsi="Arial" w:cs="Arial" w:eastAsia="Arial"/>
          <w:spacing w:val="-6"/>
          <w:sz w:val="22"/>
        </w:rPr>
        <w:t xml:space="preserve">  </w:t>
      </w:r>
      <w:r>
        <w:rPr>
          <w:rFonts w:ascii="Arial" w:hAnsi="Arial" w:cs="Arial" w:eastAsia="Arial"/>
          <w:sz w:val="22"/>
        </w:rPr>
        <w:t xml:space="preserve">  Characteristics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Demographic and other baseline characteristics for the Safety Analysis Set will be summarized by dose group for each part of the study using descriptive statistics. Continuous demographic and baseline variables include age, height, and weight; categorical variables include sex, age group, and race.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1" w:after="0"/>
        <w:ind w:left="1440" w:right="0" w:hanging="1200"/>
        <w:jc w:val="left"/>
        <w:rPr>
          <w:rFonts w:ascii="Arial"/>
          <w:sz w:val="22"/>
        </w:rPr>
      </w:pPr>
      <w:bookmarkStart w:name="9.7.1.5 Prior and Concomitant Therapy" w:id="282"/>
      <w:bookmarkEnd w:id="282"/>
      <w:r>
        <w:rPr>
          <w:rFonts w:ascii="Arial" w:hAnsi="Arial" w:cs="Arial" w:eastAsia="Arial"/>
        </w:rPr>
      </w:r>
      <w:bookmarkStart w:name="_bookmark104" w:id="283"/>
      <w:bookmarkEnd w:id="283"/>
      <w:r>
        <w:rPr>
          <w:rFonts w:ascii="Arial" w:hAnsi="Arial" w:cs="Arial" w:eastAsia="Arial"/>
        </w:rPr>
      </w:r>
      <w:bookmarkStart w:name="_bookmark104" w:id="284"/>
      <w:bookmarkEnd w:id="284"/>
      <w:r>
        <w:rPr>
          <w:rFonts w:ascii="Arial" w:hAnsi="Arial" w:cs="Arial" w:eastAsia="Arial"/>
          <w:sz w:val="22"/>
        </w:rPr>
        <w:t>Prio</w:t>
      </w:r>
      <w:r>
        <w:rPr>
          <w:rFonts w:ascii="Arial" w:hAnsi="Arial" w:cs="Arial" w:eastAsia="Arial"/>
          <w:sz w:val="22"/>
        </w:rPr>
        <w:t>r and Concomitant</w:t>
      </w:r>
      <w:r>
        <w:rPr>
          <w:rFonts w:ascii="Arial" w:hAnsi="Arial" w:cs="Arial" w:eastAsia="Arial"/>
          <w:spacing w:val="-4"/>
          <w:sz w:val="22"/>
        </w:rPr>
        <w:t xml:space="preserve">  </w:t>
      </w:r>
      <w:r>
        <w:rPr>
          <w:rFonts w:ascii="Arial" w:hAnsi="Arial" w:cs="Arial" w:eastAsia="Arial"/>
          <w:sz w:val="22"/>
        </w:rPr>
        <w:t xml:space="preserve">  Therapy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55"/>
      </w:pPr>
      <w:r>
        <w:rPr>
          <w:rFonts w:ascii="Arial" w:hAnsi="Arial" w:cs="Arial" w:eastAsia="Arial"/>
        </w:rPr>
        <w:t>All investigator terms for medications recorded in the CRF will be coded to an 11-digit code using the World Health Organization Drug Dictionary. The number (percentage) of subjects who took prior and concomitant medications will be summarized by treatment group, Anatomical Therapeutic Chemical (ATC) class, and World Health Organization Drug Dictionary preferred term (PT). Prior medications will be defined as medications that stopped before the dose of study drug. Concomitant medications will be defined as medications that started after the date of the dose of study drug up to 28 days after the subject’s dose. All medications will be presented in subject data listings.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0" w:hanging="1200"/>
        <w:jc w:val="left"/>
        <w:rPr>
          <w:rFonts w:ascii="Arial"/>
          <w:sz w:val="22"/>
        </w:rPr>
      </w:pPr>
      <w:bookmarkStart w:name="9.7.1.6 Efficacy Analyses" w:id="285"/>
      <w:bookmarkEnd w:id="285"/>
      <w:r>
        <w:rPr>
          <w:rFonts w:ascii="Arial" w:hAnsi="Arial" w:cs="Arial" w:eastAsia="Arial"/>
        </w:rPr>
      </w:r>
      <w:bookmarkStart w:name="_bookmark105" w:id="286"/>
      <w:bookmarkEnd w:id="286"/>
      <w:r>
        <w:rPr>
          <w:rFonts w:ascii="Arial" w:hAnsi="Arial" w:cs="Arial" w:eastAsia="Arial"/>
        </w:rPr>
      </w:r>
      <w:bookmarkStart w:name="_bookmark105" w:id="287"/>
      <w:bookmarkEnd w:id="287"/>
      <w:r>
        <w:rPr>
          <w:rFonts w:ascii="Arial" w:hAnsi="Arial" w:cs="Arial" w:eastAsia="Arial"/>
          <w:sz w:val="22"/>
        </w:rPr>
        <w:t>Efficac</w:t>
      </w:r>
      <w:r>
        <w:rPr>
          <w:rFonts w:ascii="Arial" w:hAnsi="Arial" w:cs="Arial" w:eastAsia="Arial"/>
          <w:sz w:val="22"/>
        </w:rPr>
        <w:t>y</w:t>
      </w:r>
      <w:r>
        <w:rPr>
          <w:rFonts w:ascii="Arial" w:hAnsi="Arial" w:cs="Arial" w:eastAsia="Arial"/>
          <w:spacing w:val="-2"/>
          <w:sz w:val="22"/>
        </w:rPr>
        <w:t xml:space="preserve">  </w:t>
      </w:r>
      <w:r>
        <w:rPr>
          <w:rFonts w:ascii="Arial" w:hAnsi="Arial" w:cs="Arial" w:eastAsia="Arial"/>
          <w:sz w:val="22"/>
        </w:rPr>
        <w:t xml:space="preserve">  Analyses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pPr>
      <w:r>
        <w:rPr>
          <w:rFonts w:ascii="Arial" w:hAnsi="Arial" w:cs="Arial" w:eastAsia="Arial"/>
        </w:rPr>
        <w:t>Not applicable.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257" w:hanging="1200"/>
        <w:jc w:val="left"/>
        <w:rPr>
          <w:rFonts w:ascii="Arial"/>
          <w:sz w:val="22"/>
        </w:rPr>
      </w:pPr>
      <w:bookmarkStart w:name="9.7.1.7 Pharmacokinetic, Pharmacodynamic" w:id="288"/>
      <w:bookmarkEnd w:id="288"/>
      <w:r>
        <w:rPr>
          <w:rFonts w:ascii="Arial" w:hAnsi="Arial" w:cs="Arial" w:eastAsia="Arial"/>
        </w:rPr>
      </w:r>
      <w:bookmarkStart w:name="_bookmark106" w:id="289"/>
      <w:bookmarkEnd w:id="289"/>
      <w:r>
        <w:rPr>
          <w:rFonts w:ascii="Arial" w:hAnsi="Arial" w:cs="Arial" w:eastAsia="Arial"/>
        </w:rPr>
      </w:r>
      <w:bookmarkStart w:name="_bookmark106" w:id="290"/>
      <w:bookmarkEnd w:id="290"/>
      <w:r>
        <w:rPr>
          <w:rFonts w:ascii="Arial" w:hAnsi="Arial" w:cs="Arial" w:eastAsia="Arial"/>
          <w:sz w:val="22"/>
        </w:rPr>
        <w:t>Pharmacokinetic</w:t>
      </w:r>
      <w:r>
        <w:rPr>
          <w:rFonts w:ascii="Arial" w:hAnsi="Arial" w:cs="Arial" w:eastAsia="Arial"/>
          <w:sz w:val="22"/>
        </w:rPr>
        <w:t>, Pharmacodynamic, Pharmacogenomic, and Other Biomarker Analyses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7"/>
        </w:numPr>
        <w:tabs>
          <w:tab w:pos="1435" w:val="left" w:leader="none"/>
          <w:tab w:pos="1436" w:val="left" w:leader="none"/>
        </w:tabs>
        <w:spacing w:line="240" w:lineRule="auto" w:before="0" w:after="0"/>
        <w:ind w:left="1435" w:right="0" w:hanging="1196"/>
        <w:jc w:val="left"/>
        <w:rPr>
          <w:rFonts w:ascii="Arial"/>
          <w:sz w:val="18"/>
        </w:rPr>
      </w:pPr>
      <w:bookmarkStart w:name="_bookmark107" w:id="291"/>
      <w:bookmarkEnd w:id="291"/>
      <w:r>
        <w:rPr>
          <w:rFonts w:ascii="Arial" w:hAnsi="Arial" w:cs="Arial" w:eastAsia="Arial"/>
        </w:rPr>
      </w:r>
      <w:bookmarkStart w:name="_bookmark107" w:id="292"/>
      <w:bookmarkEnd w:id="292"/>
      <w:r>
        <w:rPr>
          <w:rFonts w:ascii="Arial" w:hAnsi="Arial" w:cs="Arial" w:eastAsia="Arial"/>
          <w:sz w:val="22"/>
        </w:rPr>
        <w:t>P</w:t>
      </w:r>
      <w:r>
        <w:rPr>
          <w:rFonts w:ascii="Arial" w:hAnsi="Arial" w:cs="Arial" w:eastAsia="Arial"/>
          <w:sz w:val="18"/>
        </w:rPr>
        <w:t>HARMACOKINETIC</w:t>
      </w:r>
      <w:r>
        <w:rPr>
          <w:rFonts w:ascii="Arial" w:hAnsi="Arial" w:cs="Arial" w:eastAsia="Arial"/>
          <w:spacing w:val="-1"/>
          <w:sz w:val="18"/>
        </w:rPr>
        <w:t xml:space="preserve">  </w:t>
      </w:r>
      <w:r>
        <w:rPr>
          <w:rFonts w:ascii="Arial" w:hAnsi="Arial" w:cs="Arial" w:eastAsia="Arial"/>
          <w:sz w:val="22"/>
        </w:rPr>
        <w:t xml:space="preserve">  A</w:t>
      </w:r>
      <w:r>
        <w:rPr>
          <w:rFonts w:ascii="Arial" w:hAnsi="Arial" w:cs="Arial" w:eastAsia="Arial"/>
          <w:sz w:val="18"/>
        </w:rPr>
        <w:t>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The PK Analysis Set will be used for listings of individual E2730 and M1 plasma concentrations, summaries and listings of PK parameters. Plasma concentrations will be tabulated by nominal sampling time and summarized by treatment dose using summary statistics.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582"/>
      </w:pPr>
      <w:r>
        <w:rPr>
          <w:rFonts w:ascii="Arial" w:hAnsi="Arial" w:cs="Arial" w:eastAsia="Arial"/>
        </w:rPr>
        <w:t>The following PK parameters will be derived by noncompartmental analysis using plasma concentrations of E2730 and M1. These parameters will include, but are not limited to: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7"/>
        </w:numPr>
        <w:tabs>
          <w:tab w:pos="959" w:val="left" w:leader="none"/>
          <w:tab w:pos="960" w:val="left" w:leader="none"/>
          <w:tab w:pos="2039" w:val="left" w:leader="none"/>
        </w:tabs>
        <w:spacing w:line="240" w:lineRule="auto" w:before="80" w:after="0"/>
        <w:ind w:left="960" w:right="0" w:hanging="360"/>
        <w:jc w:val="left"/>
        <w:rPr>
          <w:sz w:val="24"/>
        </w:rPr>
      </w:pPr>
      <w:r>
        <w:rPr>
          <w:rFonts w:ascii="Arial" w:hAnsi="Arial" w:cs="Arial" w:eastAsia="Arial"/>
          <w:sz w:val="24"/>
        </w:rPr>
        <w:t>C</w:t>
      </w:r>
      <w:r>
        <w:rPr>
          <w:rFonts w:ascii="Arial" w:hAnsi="Arial" w:cs="Arial" w:eastAsia="Arial"/>
          <w:sz w:val="24"/>
          <w:vertAlign w:val="subscript"/>
        </w:rPr>
        <w:t>max</w:t>
      </w:r>
      <w:r>
        <w:rPr>
          <w:rFonts w:ascii="Arial" w:hAnsi="Arial" w:cs="Arial" w:eastAsia="Arial"/>
          <w:sz w:val="24"/>
          <w:vertAlign w:val="baseline"/>
        </w:rPr>
        <w:tab/>
        <w:t>maximum observed</w:t>
      </w:r>
      <w:r>
        <w:rPr>
          <w:rFonts w:ascii="Arial" w:hAnsi="Arial" w:cs="Arial" w:eastAsia="Arial"/>
          <w:spacing w:val="-2"/>
          <w:sz w:val="24"/>
          <w:vertAlign w:val="baseline"/>
        </w:rPr>
        <w:t xml:space="preserve">  </w:t>
      </w:r>
      <w:r>
        <w:rPr>
          <w:rFonts w:ascii="Arial" w:hAnsi="Arial" w:cs="Arial" w:eastAsia="Arial"/>
          <w:sz w:val="24"/>
          <w:vertAlign w:val="baseline"/>
        </w:rPr>
        <w:t xml:space="preserve">  concentration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7"/>
        </w:numPr>
        <w:tabs>
          <w:tab w:pos="959" w:val="left" w:leader="none"/>
          <w:tab w:pos="960" w:val="left" w:leader="none"/>
        </w:tabs>
        <w:spacing w:line="240" w:lineRule="auto" w:before="60" w:after="0"/>
        <w:ind w:left="960" w:right="0" w:hanging="360"/>
        <w:jc w:val="left"/>
        <w:rPr>
          <w:sz w:val="24"/>
        </w:rPr>
      </w:pPr>
      <w:r>
        <w:rPr>
          <w:rFonts w:ascii="Arial" w:hAnsi="Arial" w:cs="Arial" w:eastAsia="Arial"/>
          <w:sz w:val="24"/>
        </w:rPr>
        <w:t>AUC</w:t>
      </w:r>
      <w:r>
        <w:rPr>
          <w:rFonts w:ascii="Arial" w:hAnsi="Arial" w:cs="Arial" w:eastAsia="Arial"/>
          <w:sz w:val="24"/>
          <w:vertAlign w:val="subscript"/>
        </w:rPr>
        <w:t>(0-8h)</w:t>
      </w:r>
      <w:r>
        <w:rPr>
          <w:rFonts w:ascii="Arial" w:hAnsi="Arial" w:cs="Arial" w:eastAsia="Arial"/>
          <w:sz w:val="24"/>
          <w:vertAlign w:val="baseline"/>
        </w:rPr>
        <w:t xml:space="preserve">  area under concentration x time curve from time 0 to 8 hours</w:t>
      </w:r>
      <w:r>
        <w:rPr>
          <w:rFonts w:ascii="Arial" w:hAnsi="Arial" w:cs="Arial" w:eastAsia="Arial"/>
          <w:spacing w:val="-17"/>
          <w:sz w:val="24"/>
          <w:vertAlign w:val="baseline"/>
        </w:rPr>
        <w:t xml:space="preserve">  </w:t>
      </w:r>
      <w:r>
        <w:rPr>
          <w:rFonts w:ascii="Arial" w:hAnsi="Arial" w:cs="Arial" w:eastAsia="Arial"/>
          <w:sz w:val="24"/>
          <w:vertAlign w:val="baseline"/>
        </w:rPr>
        <w:t xml:space="preserve">  postdose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7"/>
        </w:numPr>
        <w:tabs>
          <w:tab w:pos="959" w:val="left" w:leader="none"/>
          <w:tab w:pos="960" w:val="left" w:leader="none"/>
          <w:tab w:pos="2039" w:val="left" w:leader="none"/>
        </w:tabs>
        <w:spacing w:line="240" w:lineRule="auto" w:before="60" w:after="0"/>
        <w:ind w:left="960" w:right="0" w:hanging="360"/>
        <w:jc w:val="left"/>
        <w:rPr>
          <w:sz w:val="24"/>
        </w:rPr>
      </w:pPr>
      <w:r>
        <w:rPr>
          <w:rFonts w:ascii="Arial" w:hAnsi="Arial" w:cs="Arial" w:eastAsia="Arial"/>
          <w:sz w:val="24"/>
        </w:rPr>
        <w:t>t</w:t>
      </w:r>
      <w:r>
        <w:rPr>
          <w:rFonts w:ascii="Arial" w:hAnsi="Arial" w:cs="Arial" w:eastAsia="Arial"/>
          <w:sz w:val="24"/>
          <w:vertAlign w:val="subscript"/>
        </w:rPr>
        <w:t>max</w:t>
      </w:r>
      <w:r>
        <w:rPr>
          <w:rFonts w:ascii="Arial" w:hAnsi="Arial" w:cs="Arial" w:eastAsia="Arial"/>
          <w:sz w:val="24"/>
          <w:vertAlign w:val="baseline"/>
        </w:rPr>
        <w:tab/>
        <w:t>time to reach C</w:t>
      </w:r>
      <w:r>
        <w:rPr>
          <w:rFonts w:ascii="Arial" w:hAnsi="Arial" w:cs="Arial" w:eastAsia="Arial"/>
          <w:sz w:val="24"/>
          <w:vertAlign w:val="subscript"/>
        </w:rPr>
        <w:t>max</w:t>
      </w:r>
      <w:r>
        <w:rPr>
          <w:rFonts w:ascii="Arial" w:hAnsi="Arial" w:cs="Arial" w:eastAsia="Arial"/>
          <w:sz w:val="24"/>
          <w:vertAlign w:val="baseline"/>
        </w:rPr>
        <w:t xml:space="preserve">  following drug</w:t>
      </w:r>
      <w:r>
        <w:rPr>
          <w:rFonts w:ascii="Arial" w:hAnsi="Arial" w:cs="Arial" w:eastAsia="Arial"/>
          <w:spacing w:val="-7"/>
          <w:sz w:val="24"/>
          <w:vertAlign w:val="baseline"/>
        </w:rPr>
        <w:t xml:space="preserve">  </w:t>
      </w:r>
      <w:r>
        <w:rPr>
          <w:rFonts w:ascii="Arial" w:hAnsi="Arial" w:cs="Arial" w:eastAsia="Arial"/>
          <w:sz w:val="24"/>
          <w:vertAlign w:val="baseline"/>
        </w:rPr>
        <w:t xml:space="preserve">  administration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40"/>
        <w:ind w:left="240" w:right="255"/>
      </w:pPr>
      <w:r>
        <w:rPr>
          <w:rFonts w:ascii="Arial" w:hAnsi="Arial" w:cs="Arial" w:eastAsia="Arial"/>
        </w:rPr>
        <w:t>The PK of E2730 will be analyzed based on available data from this study. The PK and PD Analysis datasets will be used to evaluate the relationship of PK of E2730 and change in PPR response. The PK-PD analyses may include the examination of the relationship of PK of E2730 and PPR response (eg, time of onset, maximum change, and duration of PPR; Bond and Lader data) using model-based approaches.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tabs>
          <w:tab w:pos="2507" w:val="left" w:leader="none"/>
        </w:tabs>
        <w:ind w:left="240"/>
      </w:pPr>
      <w:r>
        <w:rPr>
          <w:rFonts w:ascii="Arial" w:hAnsi="Arial" w:cs="Arial" w:eastAsia="Arial"/>
        </w:rPr>
        <w:t>Analysis</w:t>
      </w:r>
      <w:r>
        <w:rPr>
          <w:rFonts w:ascii="Arial" w:hAnsi="Arial" w:cs="Arial" w:eastAsia="Arial"/>
          <w:spacing w:val="-3"/>
        </w:rPr>
        <w:t xml:space="preserve">  </w:t>
      </w:r>
      <w:r>
        <w:rPr>
          <w:rFonts w:ascii="Arial" w:hAnsi="Arial" w:cs="Arial" w:eastAsia="Arial"/>
        </w:rPr>
        <w:t xml:space="preserve">  variables:</w:t>
        <w:tab/>
        <w:t>Plasma concentrations of E2730 and </w:t>
      </w:r>
      <w:r>
        <w:rPr>
          <w:rFonts w:ascii="Arial" w:hAnsi="Arial" w:cs="Arial" w:eastAsia="Arial"/>
          <w:i/>
        </w:rPr>
        <w:t>N</w:t>
      </w:r>
      <w:r>
        <w:rPr>
          <w:rFonts w:ascii="Arial" w:hAnsi="Arial" w:cs="Arial" w:eastAsia="Arial"/>
        </w:rPr>
        <w:t>-acetyl metabolite</w:t>
      </w:r>
      <w:r>
        <w:rPr>
          <w:rFonts w:ascii="Arial" w:hAnsi="Arial" w:cs="Arial" w:eastAsia="Arial"/>
          <w:spacing w:val="-9"/>
        </w:rPr>
        <w:t xml:space="preserve">  </w:t>
      </w:r>
      <w:r>
        <w:rPr>
          <w:rFonts w:ascii="Arial" w:hAnsi="Arial" w:cs="Arial" w:eastAsia="Arial"/>
        </w:rPr>
        <w:t xml:space="preserve">  (M1)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tabs>
          <w:tab w:pos="2507" w:val="left" w:leader="none"/>
        </w:tabs>
        <w:ind w:left="2508" w:right="344" w:hanging="2268"/>
        <w:jc w:val="both"/>
      </w:pPr>
      <w:r>
        <w:rPr>
          <w:rFonts w:ascii="Arial" w:hAnsi="Arial" w:cs="Arial" w:eastAsia="Arial"/>
        </w:rPr>
        <w:t>Analysis</w:t>
      </w:r>
      <w:r>
        <w:rPr>
          <w:rFonts w:ascii="Arial" w:hAnsi="Arial" w:cs="Arial" w:eastAsia="Arial"/>
          <w:spacing w:val="-2"/>
        </w:rPr>
        <w:t xml:space="preserve">  </w:t>
      </w:r>
      <w:r>
        <w:rPr>
          <w:rFonts w:ascii="Arial" w:hAnsi="Arial" w:cs="Arial" w:eastAsia="Arial"/>
        </w:rPr>
        <w:t xml:space="preserve">  set:</w:t>
        <w:tab/>
        <w:t>The Pharmacokinetic Analysis Set will be used for individual plasma concentration listings and summaries of plasma</w:t>
      </w:r>
      <w:r>
        <w:rPr>
          <w:rFonts w:ascii="Arial" w:hAnsi="Arial" w:cs="Arial" w:eastAsia="Arial"/>
          <w:spacing w:val="-17"/>
        </w:rPr>
        <w:t xml:space="preserve">  </w:t>
      </w:r>
      <w:r>
        <w:rPr>
          <w:rFonts w:ascii="Arial" w:hAnsi="Arial" w:cs="Arial" w:eastAsia="Arial"/>
        </w:rPr>
        <w:t xml:space="preserve">  concentrations.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508" w:right="393" w:hanging="2268"/>
        <w:jc w:val="both"/>
      </w:pPr>
      <w:r>
        <w:rPr>
          <w:rFonts w:ascii="Arial" w:hAnsi="Arial" w:cs="Arial" w:eastAsia="Arial"/>
        </w:rPr>
        <w:t>Analysis methods: The PK of E2730 will be analyzed based on available data from this study. Plasma concentrations will be tabulated by nominal sampling time and summarized by treatment dose using summary statistics.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7"/>
        </w:numPr>
        <w:tabs>
          <w:tab w:pos="1435" w:val="left" w:leader="none"/>
          <w:tab w:pos="1436" w:val="left" w:leader="none"/>
        </w:tabs>
        <w:spacing w:line="240" w:lineRule="auto" w:before="0" w:after="0"/>
        <w:ind w:left="1435" w:right="0" w:hanging="1196"/>
        <w:jc w:val="left"/>
        <w:rPr>
          <w:rFonts w:ascii="Arial"/>
          <w:sz w:val="18"/>
        </w:rPr>
      </w:pPr>
      <w:bookmarkStart w:name="_bookmark108" w:id="293"/>
      <w:bookmarkEnd w:id="293"/>
      <w:r>
        <w:rPr>
          <w:rFonts w:ascii="Arial" w:hAnsi="Arial" w:cs="Arial" w:eastAsia="Arial"/>
        </w:rPr>
      </w:r>
      <w:bookmarkStart w:name="_bookmark108" w:id="294"/>
      <w:bookmarkEnd w:id="294"/>
      <w:r>
        <w:rPr>
          <w:rFonts w:ascii="Arial" w:hAnsi="Arial" w:cs="Arial" w:eastAsia="Arial"/>
          <w:sz w:val="22"/>
        </w:rPr>
        <w:t>P</w:t>
      </w:r>
      <w:r>
        <w:rPr>
          <w:rFonts w:ascii="Arial" w:hAnsi="Arial" w:cs="Arial" w:eastAsia="Arial"/>
          <w:sz w:val="18"/>
        </w:rPr>
        <w:t>HARMACODYNAMIC</w:t>
      </w:r>
      <w:r>
        <w:rPr>
          <w:rFonts w:ascii="Arial" w:hAnsi="Arial" w:cs="Arial" w:eastAsia="Arial"/>
          <w:sz w:val="22"/>
        </w:rPr>
        <w:t>, P</w:t>
      </w:r>
      <w:r>
        <w:rPr>
          <w:rFonts w:ascii="Arial" w:hAnsi="Arial" w:cs="Arial" w:eastAsia="Arial"/>
          <w:sz w:val="18"/>
        </w:rPr>
        <w:t>HARMACOGENOMIC</w:t>
      </w:r>
      <w:r>
        <w:rPr>
          <w:rFonts w:ascii="Arial" w:hAnsi="Arial" w:cs="Arial" w:eastAsia="Arial"/>
          <w:sz w:val="22"/>
        </w:rPr>
        <w:t>, </w:t>
      </w:r>
      <w:r>
        <w:rPr>
          <w:rFonts w:ascii="Arial" w:hAnsi="Arial" w:cs="Arial" w:eastAsia="Arial"/>
          <w:sz w:val="18"/>
        </w:rPr>
        <w:t xml:space="preserve">  AND </w:t>
      </w:r>
      <w:r>
        <w:rPr>
          <w:rFonts w:ascii="Arial" w:hAnsi="Arial" w:cs="Arial" w:eastAsia="Arial"/>
          <w:sz w:val="22"/>
        </w:rPr>
        <w:t xml:space="preserve">  O</w:t>
      </w:r>
      <w:r>
        <w:rPr>
          <w:rFonts w:ascii="Arial" w:hAnsi="Arial" w:cs="Arial" w:eastAsia="Arial"/>
          <w:sz w:val="18"/>
        </w:rPr>
        <w:t>THER </w:t>
      </w:r>
      <w:r>
        <w:rPr>
          <w:rFonts w:ascii="Arial" w:hAnsi="Arial" w:cs="Arial" w:eastAsia="Arial"/>
          <w:sz w:val="22"/>
        </w:rPr>
        <w:t xml:space="preserve">  B</w:t>
      </w:r>
      <w:r>
        <w:rPr>
          <w:rFonts w:ascii="Arial" w:hAnsi="Arial" w:cs="Arial" w:eastAsia="Arial"/>
          <w:sz w:val="18"/>
        </w:rPr>
        <w:t>IOMARKER</w:t>
      </w:r>
      <w:r>
        <w:rPr>
          <w:rFonts w:ascii="Arial" w:hAnsi="Arial" w:cs="Arial" w:eastAsia="Arial"/>
          <w:spacing w:val="-32"/>
          <w:sz w:val="18"/>
        </w:rPr>
        <w:t xml:space="preserve">  </w:t>
      </w:r>
      <w:r>
        <w:rPr>
          <w:rFonts w:ascii="Arial" w:hAnsi="Arial" w:cs="Arial" w:eastAsia="Arial"/>
          <w:sz w:val="22"/>
        </w:rPr>
        <w:t xml:space="preserve">  A</w:t>
      </w:r>
      <w:r>
        <w:rPr>
          <w:rFonts w:ascii="Arial" w:hAnsi="Arial" w:cs="Arial" w:eastAsia="Arial"/>
          <w:sz w:val="18"/>
        </w:rPr>
        <w:t>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pPr>
      <w:r>
        <w:rPr>
          <w:rFonts w:ascii="Arial" w:hAnsi="Arial" w:cs="Arial" w:eastAsia="Arial"/>
        </w:rPr>
        <w:t>The PD analysis will be performed on the PD Analysis Set.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34"/>
      </w:pPr>
      <w:r>
        <w:rPr>
          <w:rFonts w:ascii="Arial" w:hAnsi="Arial" w:cs="Arial" w:eastAsia="Arial"/>
        </w:rPr>
        <w:t>No multiplicity adjustments will be made. The 5 PPR measured postdose on a study day will be averaged and used for the primary endpoint. The predose PPR data from the respective treatment period will be used as the baseline data.</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96"/>
      </w:pPr>
      <w:r>
        <w:rPr>
          <w:rFonts w:ascii="Arial" w:hAnsi="Arial" w:cs="Arial" w:eastAsia="Arial"/>
        </w:rPr>
        <w:t>The primary and secondary endpoints of mean change from baseline of the average PPR for each E2730 dose compared with placebo in the most sensitive and different eye conditions will be performed using a mixed effects model for crossover study. The model will include treatment, period, and sequence as fixed effects, baseline (predose) measurement as a covariate, and subject nested within sequence as a random effect. Where data are normally distributed, least squares (LS) means, difference in LS means of each E2730 dose compared to placebo, and 90% CIs will be presented with no adjustments for multiplicity.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Additional analysis by graphical exploration on onset, maximum change, and duration of photosensitivity response at each dose level will be performed for all 3 eye conditions at the time course of E2730 as compared to placebo. This analysis will provide further information on the frequency and percentage of subjects with Complete Suppression, Partial Response, and No Response of PPR at each dose level of E2730 as compared to placebo.</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95"/>
      </w:pPr>
      <w:r>
        <w:rPr>
          <w:rFonts w:ascii="Arial" w:hAnsi="Arial" w:cs="Arial" w:eastAsia="Arial"/>
        </w:rPr>
        <w:t>Sensitivity analyses for PPR may be conducted, for example, of PPR for subjects who completed Treatment Periods 1-3 versus those who are included in the PD Analysis Set. Other exploratory analyses may be conducted as data permit. All PD data (Bond and Lader) will be listed and summarized by treatment, as appropriate, using standard summary statistics. Descriptive summary statistics (eg, mean, SD, median, minimum, and maximum</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927"/>
      </w:pPr>
      <w:r>
        <w:rPr>
          <w:rFonts w:ascii="Arial" w:hAnsi="Arial" w:cs="Arial" w:eastAsia="Arial"/>
        </w:rPr>
        <w:t>for continuous variables, and the number and percent for categorical variables) of</w:t>
      </w:r>
      <w:r>
        <w:rPr>
          <w:rFonts w:ascii="Arial" w:hAnsi="Arial" w:cs="Arial" w:eastAsia="Arial"/>
          <w:spacing w:val="-10"/>
        </w:rPr>
        <w:t xml:space="preserve">  </w:t>
      </w:r>
      <w:r>
        <w:rPr>
          <w:rFonts w:ascii="Arial" w:hAnsi="Arial" w:cs="Arial" w:eastAsia="Arial"/>
        </w:rPr>
        <w:t xml:space="preserve">  each endpoint and the changes from baseline will be</w:t>
      </w:r>
      <w:r>
        <w:rPr>
          <w:rFonts w:ascii="Arial" w:hAnsi="Arial" w:cs="Arial" w:eastAsia="Arial"/>
          <w:spacing w:val="-2"/>
        </w:rPr>
        <w:t xml:space="preserve">  </w:t>
      </w:r>
      <w:r>
        <w:rPr>
          <w:rFonts w:ascii="Arial" w:hAnsi="Arial" w:cs="Arial" w:eastAsia="Arial"/>
        </w:rPr>
        <w:t xml:space="preserve">  tabulated.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02"/>
      </w:pPr>
      <w:r>
        <w:rPr>
          <w:rFonts w:ascii="Arial" w:hAnsi="Arial" w:cs="Arial" w:eastAsia="Arial"/>
        </w:rPr>
        <w:t>PGx analyses may be performed and reported separately. Details of these analyses, if appropriate, may be described in a separate analysis</w:t>
      </w:r>
      <w:r>
        <w:rPr>
          <w:rFonts w:ascii="Arial" w:hAnsi="Arial" w:cs="Arial" w:eastAsia="Arial"/>
          <w:spacing w:val="-8"/>
        </w:rPr>
        <w:t xml:space="preserve">  </w:t>
      </w:r>
      <w:r>
        <w:rPr>
          <w:rFonts w:ascii="Arial" w:hAnsi="Arial" w:cs="Arial" w:eastAsia="Arial"/>
        </w:rPr>
        <w:t xml:space="preserve">  plan.</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3"/>
          <w:numId w:val="14"/>
        </w:numPr>
        <w:tabs>
          <w:tab w:pos="1439" w:val="left" w:leader="none"/>
          <w:tab w:pos="1440" w:val="left" w:leader="none"/>
        </w:tabs>
        <w:spacing w:line="240" w:lineRule="auto" w:before="0" w:after="0"/>
        <w:ind w:left="1440" w:right="0" w:hanging="1200"/>
        <w:jc w:val="left"/>
        <w:rPr>
          <w:rFonts w:ascii="Arial"/>
          <w:sz w:val="22"/>
        </w:rPr>
      </w:pPr>
      <w:bookmarkStart w:name="9.7.1.8 Safety Analyses" w:id="295"/>
      <w:bookmarkEnd w:id="295"/>
      <w:r>
        <w:rPr>
          <w:rFonts w:ascii="Arial" w:hAnsi="Arial" w:cs="Arial" w:eastAsia="Arial"/>
        </w:rPr>
      </w:r>
      <w:bookmarkStart w:name="_bookmark109" w:id="296"/>
      <w:bookmarkEnd w:id="296"/>
      <w:r>
        <w:rPr>
          <w:rFonts w:ascii="Arial" w:hAnsi="Arial" w:cs="Arial" w:eastAsia="Arial"/>
        </w:rPr>
      </w:r>
      <w:bookmarkStart w:name="_bookmark109" w:id="297"/>
      <w:bookmarkEnd w:id="297"/>
      <w:r>
        <w:rPr>
          <w:rFonts w:ascii="Arial" w:hAnsi="Arial" w:cs="Arial" w:eastAsia="Arial"/>
          <w:sz w:val="22"/>
        </w:rPr>
        <w:t>Safet</w:t>
      </w:r>
      <w:r>
        <w:rPr>
          <w:rFonts w:ascii="Arial" w:hAnsi="Arial" w:cs="Arial" w:eastAsia="Arial"/>
          <w:sz w:val="22"/>
        </w:rPr>
        <w:t>y</w:t>
      </w:r>
      <w:r>
        <w:rPr>
          <w:rFonts w:ascii="Arial" w:hAnsi="Arial" w:cs="Arial" w:eastAsia="Arial"/>
          <w:spacing w:val="-2"/>
          <w:sz w:val="22"/>
        </w:rPr>
        <w:t xml:space="preserve">  </w:t>
      </w:r>
      <w:r>
        <w:rPr>
          <w:rFonts w:ascii="Arial" w:hAnsi="Arial" w:cs="Arial" w:eastAsia="Arial"/>
          <w:sz w:val="22"/>
        </w:rPr>
        <w:t xml:space="preserve">  Analyses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Evaluations of safety will be performed on the Safety Analysis Set. Safety data that will be evaluated include AEs, clinical laboratory results, vital signs, ECGs, and neurological/physical examinations. Treatment-emergent adverse events (TEAEs) will be summarized by presenting for each treatment group, the incidence of AEs.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An assessment of suicidal ideation and behavior using the C-SSRS will be performed throughout the study.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20"/>
      </w:pPr>
      <w:r>
        <w:rPr>
          <w:rFonts w:ascii="Arial" w:hAnsi="Arial" w:cs="Arial" w:eastAsia="Arial"/>
        </w:rPr>
        <w:t>Descriptive summary statistics (eg, mean, SD, median, minimum, and maximum for continuous variables, and the number and percent for categorical variables) of the</w:t>
      </w:r>
      <w:r>
        <w:rPr>
          <w:rFonts w:ascii="Arial" w:hAnsi="Arial" w:cs="Arial" w:eastAsia="Arial"/>
          <w:spacing w:val="-28"/>
        </w:rPr>
        <w:t xml:space="preserve">  </w:t>
      </w:r>
      <w:r>
        <w:rPr>
          <w:rFonts w:ascii="Arial" w:hAnsi="Arial" w:cs="Arial" w:eastAsia="Arial"/>
        </w:rPr>
        <w:t xml:space="preserve">  laboratory, vital signs, and ECG parameters, and changes from baseline will be evaluated by treatment group. The proportion of subjects with any treatment-emergent report of suicidal ideation and behavior and intensity of these behaviors will be</w:t>
      </w:r>
      <w:r>
        <w:rPr>
          <w:rFonts w:ascii="Arial" w:hAnsi="Arial" w:cs="Arial" w:eastAsia="Arial"/>
          <w:spacing w:val="-7"/>
        </w:rPr>
        <w:t xml:space="preserve">  </w:t>
      </w:r>
      <w:r>
        <w:rPr>
          <w:rFonts w:ascii="Arial" w:hAnsi="Arial" w:cs="Arial" w:eastAsia="Arial"/>
        </w:rPr>
        <w:t xml:space="preserve">  summarized.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5"/>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0" w:after="0"/>
        <w:ind w:left="1435" w:right="0" w:hanging="1196"/>
        <w:jc w:val="left"/>
        <w:rPr>
          <w:rFonts w:ascii="Arial"/>
          <w:sz w:val="18"/>
        </w:rPr>
      </w:pPr>
      <w:bookmarkStart w:name="_bookmark110" w:id="298"/>
      <w:bookmarkEnd w:id="298"/>
      <w:r>
        <w:rPr>
          <w:rFonts w:ascii="Arial" w:hAnsi="Arial" w:cs="Arial" w:eastAsia="Arial"/>
        </w:rPr>
      </w:r>
      <w:bookmarkStart w:name="_bookmark110" w:id="299"/>
      <w:bookmarkEnd w:id="299"/>
      <w:r>
        <w:rPr>
          <w:rFonts w:ascii="Arial" w:hAnsi="Arial" w:cs="Arial" w:eastAsia="Arial"/>
          <w:sz w:val="22"/>
        </w:rPr>
        <w:t>E</w:t>
      </w:r>
      <w:r>
        <w:rPr>
          <w:rFonts w:ascii="Arial" w:hAnsi="Arial" w:cs="Arial" w:eastAsia="Arial"/>
          <w:sz w:val="18"/>
        </w:rPr>
        <w:t>XTENT OF</w:t>
      </w:r>
      <w:r>
        <w:rPr>
          <w:rFonts w:ascii="Arial" w:hAnsi="Arial" w:cs="Arial" w:eastAsia="Arial"/>
          <w:spacing w:val="-3"/>
          <w:sz w:val="18"/>
        </w:rPr>
        <w:t xml:space="preserve">  </w:t>
      </w:r>
      <w:r>
        <w:rPr>
          <w:rFonts w:ascii="Arial" w:hAnsi="Arial" w:cs="Arial" w:eastAsia="Arial"/>
          <w:sz w:val="22"/>
        </w:rPr>
        <w:t xml:space="preserve">  E</w:t>
      </w:r>
      <w:r>
        <w:rPr>
          <w:rFonts w:ascii="Arial" w:hAnsi="Arial" w:cs="Arial" w:eastAsia="Arial"/>
          <w:sz w:val="18"/>
        </w:rPr>
        <w:t>XPOSURE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5"/>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pPr>
      <w:r>
        <w:rPr>
          <w:rFonts w:ascii="Arial" w:hAnsi="Arial" w:cs="Arial" w:eastAsia="Arial"/>
        </w:rPr>
        <w:t>Extent of exposure will be presented by dose level.</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1" w:after="0"/>
        <w:ind w:left="1435" w:right="0" w:hanging="1196"/>
        <w:jc w:val="left"/>
        <w:rPr>
          <w:rFonts w:ascii="Arial"/>
          <w:sz w:val="18"/>
        </w:rPr>
      </w:pPr>
      <w:bookmarkStart w:name="_bookmark111" w:id="300"/>
      <w:bookmarkEnd w:id="300"/>
      <w:r>
        <w:rPr>
          <w:rFonts w:ascii="Arial" w:hAnsi="Arial" w:cs="Arial" w:eastAsia="Arial"/>
        </w:rPr>
      </w:r>
      <w:bookmarkStart w:name="_bookmark111" w:id="301"/>
      <w:bookmarkEnd w:id="301"/>
      <w:r>
        <w:rPr>
          <w:rFonts w:ascii="Arial" w:hAnsi="Arial" w:cs="Arial" w:eastAsia="Arial"/>
          <w:sz w:val="22"/>
        </w:rPr>
        <w:t>A</w:t>
      </w:r>
      <w:r>
        <w:rPr>
          <w:rFonts w:ascii="Arial" w:hAnsi="Arial" w:cs="Arial" w:eastAsia="Arial"/>
          <w:sz w:val="18"/>
        </w:rPr>
        <w:t>DVERSE</w:t>
      </w:r>
      <w:r>
        <w:rPr>
          <w:rFonts w:ascii="Arial" w:hAnsi="Arial" w:cs="Arial" w:eastAsia="Arial"/>
          <w:spacing w:val="-1"/>
          <w:sz w:val="18"/>
        </w:rPr>
        <w:t xml:space="preserve">  </w:t>
      </w:r>
      <w:r>
        <w:rPr>
          <w:rFonts w:ascii="Arial" w:hAnsi="Arial" w:cs="Arial" w:eastAsia="Arial"/>
          <w:sz w:val="22"/>
        </w:rPr>
        <w:t xml:space="preserve">  E</w:t>
      </w:r>
      <w:r>
        <w:rPr>
          <w:rFonts w:ascii="Arial" w:hAnsi="Arial" w:cs="Arial" w:eastAsia="Arial"/>
          <w:sz w:val="18"/>
        </w:rPr>
        <w:t>VENTS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The AE verbatim descriptions (investigator terms from the CRF) will be classified into standardized medical terminology using the Medical Dictionary for Regulatory Activities (MedDRA). AEs will be coded to the MedDRA (Version 20.0 or higher) lower level term (LLT) closest to the verbatim term. The linked MedDRA PT and primary system organ class (SOC) are also captured in the database.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1342"/>
      </w:pPr>
      <w:r>
        <w:rPr>
          <w:rFonts w:ascii="Arial" w:hAnsi="Arial" w:cs="Arial" w:eastAsia="Arial"/>
        </w:rPr>
        <w:t>A TEAE is defined as an AE that emerges during treatment, having been absent at pretreatment (Baseline) or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8"/>
        </w:numPr>
        <w:tabs>
          <w:tab w:pos="959" w:val="left" w:leader="none"/>
          <w:tab w:pos="960" w:val="left" w:leader="none"/>
        </w:tabs>
        <w:spacing w:line="240" w:lineRule="auto" w:before="60" w:after="0"/>
        <w:ind w:left="960" w:right="860" w:hanging="360"/>
        <w:jc w:val="left"/>
        <w:rPr>
          <w:sz w:val="24"/>
        </w:rPr>
      </w:pPr>
      <w:r>
        <w:rPr>
          <w:rFonts w:ascii="Arial" w:hAnsi="Arial" w:cs="Arial" w:eastAsia="Arial"/>
          <w:sz w:val="24"/>
        </w:rPr>
        <w:t>Reemerges during treatment, having been present at pretreatment (Baseline) but stopped before treatment,</w:t>
      </w:r>
      <w:r>
        <w:rPr>
          <w:rFonts w:ascii="Arial" w:hAnsi="Arial" w:cs="Arial" w:eastAsia="Arial"/>
          <w:spacing w:val="-3"/>
          <w:sz w:val="24"/>
        </w:rPr>
        <w:t xml:space="preserve">  </w:t>
      </w:r>
      <w:r>
        <w:rPr>
          <w:rFonts w:ascii="Arial" w:hAnsi="Arial" w:cs="Arial" w:eastAsia="Arial"/>
          <w:sz w:val="24"/>
        </w:rPr>
        <w:t xml:space="preserve">  or</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8"/>
        </w:numPr>
        <w:tabs>
          <w:tab w:pos="959" w:val="left" w:leader="none"/>
          <w:tab w:pos="960" w:val="left" w:leader="none"/>
        </w:tabs>
        <w:spacing w:line="240" w:lineRule="auto" w:before="60" w:after="0"/>
        <w:ind w:left="960" w:right="456" w:hanging="360"/>
        <w:jc w:val="left"/>
        <w:rPr>
          <w:sz w:val="24"/>
        </w:rPr>
      </w:pPr>
      <w:r>
        <w:rPr>
          <w:rFonts w:ascii="Arial" w:hAnsi="Arial" w:cs="Arial" w:eastAsia="Arial"/>
          <w:sz w:val="24"/>
        </w:rPr>
        <w:t>Worsens in severity during treatment relative to the pretreatment state, when the</w:t>
      </w:r>
      <w:r>
        <w:rPr>
          <w:rFonts w:ascii="Arial" w:hAnsi="Arial" w:cs="Arial" w:eastAsia="Arial"/>
          <w:spacing w:val="-17"/>
          <w:sz w:val="24"/>
        </w:rPr>
        <w:t xml:space="preserve">  </w:t>
      </w:r>
      <w:r>
        <w:rPr>
          <w:rFonts w:ascii="Arial" w:hAnsi="Arial" w:cs="Arial" w:eastAsia="Arial"/>
          <w:sz w:val="24"/>
        </w:rPr>
        <w:t xml:space="preserve">  AE is continuous.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0"/>
        <w:ind w:left="240" w:right="580"/>
      </w:pPr>
      <w:r>
        <w:rPr>
          <w:rFonts w:ascii="Arial" w:hAnsi="Arial" w:cs="Arial" w:eastAsia="Arial"/>
        </w:rPr>
        <w:t>Only those AEs that are treatment-emergent will be included in summary tables. All AEs, treatment-emergent or otherwise, will be presented in subject data listings.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The TEAEs will be summarized by treatment group, using the Safety Analysis Set. The incidence of TEAEs will be reported as the number (percentage) of subjects with TEAEs by SOC and PT. A subject will be counted only once within an SOC and PT, even if the subject experienced more than 1 TEAE within a specific SOC and PT. The number (percentage) of</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748"/>
      </w:pPr>
      <w:r>
        <w:rPr>
          <w:rFonts w:ascii="Arial" w:hAnsi="Arial" w:cs="Arial" w:eastAsia="Arial"/>
        </w:rPr>
        <w:t>subjects with TEAEs will also be summarized by maximum severity (mild, moderate, or severe).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44"/>
        <w:jc w:val="both"/>
      </w:pPr>
      <w:r>
        <w:rPr>
          <w:rFonts w:ascii="Arial" w:hAnsi="Arial" w:cs="Arial" w:eastAsia="Arial"/>
        </w:rPr>
        <w:t>The number (percentage) of subjects with TEAEs will also be summarized by relationship to study drug (Yes [related] and No [not related]). A subject data listing of all SAEs, including deaths, will be provided.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0" w:after="0"/>
        <w:ind w:left="1435" w:right="0" w:hanging="1196"/>
        <w:jc w:val="left"/>
        <w:rPr>
          <w:rFonts w:ascii="Arial"/>
          <w:sz w:val="18"/>
        </w:rPr>
      </w:pPr>
      <w:bookmarkStart w:name="_bookmark112" w:id="302"/>
      <w:bookmarkEnd w:id="302"/>
      <w:r>
        <w:rPr>
          <w:rFonts w:ascii="Arial" w:hAnsi="Arial" w:cs="Arial" w:eastAsia="Arial"/>
        </w:rPr>
      </w:r>
      <w:bookmarkStart w:name="_bookmark112" w:id="303"/>
      <w:bookmarkEnd w:id="303"/>
      <w:r>
        <w:rPr>
          <w:rFonts w:ascii="Arial" w:hAnsi="Arial" w:cs="Arial" w:eastAsia="Arial"/>
          <w:sz w:val="22"/>
        </w:rPr>
        <w:t>L</w:t>
      </w:r>
      <w:r>
        <w:rPr>
          <w:rFonts w:ascii="Arial" w:hAnsi="Arial" w:cs="Arial" w:eastAsia="Arial"/>
          <w:sz w:val="18"/>
        </w:rPr>
        <w:t>ABORATORY</w:t>
      </w:r>
      <w:r>
        <w:rPr>
          <w:rFonts w:ascii="Arial" w:hAnsi="Arial" w:cs="Arial" w:eastAsia="Arial"/>
          <w:spacing w:val="-1"/>
          <w:sz w:val="18"/>
        </w:rPr>
        <w:t xml:space="preserve">  </w:t>
      </w:r>
      <w:r>
        <w:rPr>
          <w:rFonts w:ascii="Arial" w:hAnsi="Arial" w:cs="Arial" w:eastAsia="Arial"/>
          <w:sz w:val="22"/>
        </w:rPr>
        <w:t xml:space="preserve">  V</w:t>
      </w:r>
      <w:r>
        <w:rPr>
          <w:rFonts w:ascii="Arial" w:hAnsi="Arial" w:cs="Arial" w:eastAsia="Arial"/>
          <w:sz w:val="18"/>
        </w:rPr>
        <w:t>ALUES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Laboratory results will be summarized using Système International (SI) units, as appropriate. For all quantitative parameters listed in </w:t>
      </w:r>
      <w:r>
        <w:rPr>
          <w:rFonts w:ascii="Arial" w:hAnsi="Arial" w:cs="Arial" w:eastAsia="Arial"/>
          <w:color w:val="3232FF"/>
        </w:rPr>
        <w:t xml:space="preserve">  Section </w:t>
      </w:r>
      <w:hyperlink w:history="true" w:anchor="_bookmark69">
        <w:r>
          <w:rPr>
            <w:rFonts w:ascii="Arial" w:hAnsi="Arial" w:cs="Arial" w:eastAsia="Arial"/>
            <w:color w:val="0000FF"/>
          </w:rPr>
          <w:t xml:space="preserve">  9.5.1.5.3</w:t>
        </w:r>
      </w:hyperlink>
      <w:r>
        <w:rPr>
          <w:rFonts w:ascii="Arial" w:hAnsi="Arial" w:cs="Arial" w:eastAsia="Arial"/>
        </w:rPr>
        <w:t>, the actual value and the change from baseline to each postbaseline visit and to the end of treatment (defined as the last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on-treatment value) will be summarized by visit and treatment group using descriptive statistics. Qualitative parameters listed in </w:t>
      </w:r>
      <w:r>
        <w:rPr>
          <w:rFonts w:ascii="Arial" w:hAnsi="Arial" w:cs="Arial" w:eastAsia="Arial"/>
          <w:color w:val="3232FF"/>
        </w:rPr>
        <w:t xml:space="preserve">  Section </w:t>
      </w:r>
      <w:hyperlink w:history="true" w:anchor="_bookmark69">
        <w:r>
          <w:rPr>
            <w:rFonts w:ascii="Arial" w:hAnsi="Arial" w:cs="Arial" w:eastAsia="Arial"/>
            <w:color w:val="0000FF"/>
          </w:rPr>
          <w:t xml:space="preserve">  9.5.1.5.3</w:t>
        </w:r>
      </w:hyperlink>
      <w:r>
        <w:rPr>
          <w:rFonts w:ascii="Arial" w:hAnsi="Arial" w:cs="Arial" w:eastAsia="Arial"/>
          <w:color w:val="0000FF"/>
        </w:rPr>
        <w:t xml:space="preserve">  </w:t>
      </w:r>
      <w:r>
        <w:rPr>
          <w:rFonts w:ascii="Arial" w:hAnsi="Arial" w:cs="Arial" w:eastAsia="Arial"/>
        </w:rPr>
        <w:t xml:space="preserve">  will be summarized using frequencies (number and percentage of subjects), and changes from baseline to each postbaseline visit and to end of treatment will be reported using shift tables. Percentages will be based on the number of subjects with both nonmissing baseline and relevant postbaseline results.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69"/>
      </w:pPr>
      <w:r>
        <w:rPr>
          <w:rFonts w:ascii="Arial" w:hAnsi="Arial" w:cs="Arial" w:eastAsia="Arial"/>
        </w:rPr>
        <w:t>Laboratory test results will be assigned a low/normal/high (LNH) classification according to whether the value was below (L), within (N), or above (H) the laboratory parameter’s reference range. Within-treatment comparisons for each laboratory parameter will be based on 3-by-3 tables (shift tables) that compare the baseline LNH classification to the LNH classification at each postbaseline visit and at the end of treatment. Similar shift tables will also compare the baseline LNH classification to the LNH classification for the highest and lowest value during the treatment period.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02"/>
      </w:pPr>
      <w:hyperlink w:history="true" w:anchor="_bookmark135">
        <w:r>
          <w:rPr>
            <w:rFonts w:ascii="Arial" w:hAnsi="Arial" w:cs="Arial" w:eastAsia="Arial"/>
            <w:color w:val="0000FF"/>
          </w:rPr>
          <w:t>Appendix 1</w:t>
        </w:r>
      </w:hyperlink>
      <w:r>
        <w:rPr>
          <w:rFonts w:ascii="Arial" w:hAnsi="Arial" w:cs="Arial" w:eastAsia="Arial"/>
          <w:color w:val="0000FF"/>
        </w:rPr>
        <w:t xml:space="preserve">  </w:t>
      </w:r>
      <w:r>
        <w:rPr>
          <w:rFonts w:ascii="Arial" w:hAnsi="Arial" w:cs="Arial" w:eastAsia="Arial"/>
        </w:rPr>
        <w:t xml:space="preserve">  (Sponsor’s Grading for Laboratory Values) presents the criteria that will be used to identify subjects with treatment-emergent markedly abnormal laboratory values (TEMAVs). Except for phosphate, a TEMAV is defined as a postbaseline value with an increase from baseline to a grade of 2 or higher. For phosphate, a TEMAV was defined as a postbaseline value with an increase from baseline to a grade of 3 or higher. When displaying the incidence of TEMAVs, each subject may be counted once in the laboratory parameter high and in the laboratory parameter low categories, as applicable.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0" w:after="0"/>
        <w:ind w:left="1435" w:right="0" w:hanging="1196"/>
        <w:jc w:val="left"/>
        <w:rPr>
          <w:rFonts w:ascii="Arial"/>
          <w:sz w:val="18"/>
        </w:rPr>
      </w:pPr>
      <w:bookmarkStart w:name="_bookmark113" w:id="304"/>
      <w:bookmarkEnd w:id="304"/>
      <w:r>
        <w:rPr>
          <w:rFonts w:ascii="Arial" w:hAnsi="Arial" w:cs="Arial" w:eastAsia="Arial"/>
        </w:rPr>
      </w:r>
      <w:bookmarkStart w:name="_bookmark113" w:id="305"/>
      <w:bookmarkEnd w:id="305"/>
      <w:r>
        <w:rPr>
          <w:rFonts w:ascii="Arial" w:hAnsi="Arial" w:cs="Arial" w:eastAsia="Arial"/>
          <w:sz w:val="22"/>
        </w:rPr>
        <w:t>V</w:t>
      </w:r>
      <w:r>
        <w:rPr>
          <w:rFonts w:ascii="Arial" w:hAnsi="Arial" w:cs="Arial" w:eastAsia="Arial"/>
          <w:sz w:val="18"/>
        </w:rPr>
        <w:t>ITAL</w:t>
      </w:r>
      <w:r>
        <w:rPr>
          <w:rFonts w:ascii="Arial" w:hAnsi="Arial" w:cs="Arial" w:eastAsia="Arial"/>
          <w:spacing w:val="-2"/>
          <w:sz w:val="18"/>
        </w:rPr>
        <w:t xml:space="preserve">  </w:t>
      </w:r>
      <w:r>
        <w:rPr>
          <w:rFonts w:ascii="Arial" w:hAnsi="Arial" w:cs="Arial" w:eastAsia="Arial"/>
          <w:sz w:val="22"/>
        </w:rPr>
        <w:t xml:space="preserve">  S</w:t>
      </w:r>
      <w:r>
        <w:rPr>
          <w:rFonts w:ascii="Arial" w:hAnsi="Arial" w:cs="Arial" w:eastAsia="Arial"/>
          <w:sz w:val="18"/>
        </w:rPr>
        <w:t>IGNS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Descriptive statistics for vital signs parameters (ie, systolic and diastolic BP, pulse, respiratory rate, and temperature) and changes from baseline will be presented by visit and treatment group.</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0" w:after="0"/>
        <w:ind w:left="1435" w:right="0" w:hanging="1196"/>
        <w:jc w:val="left"/>
        <w:rPr>
          <w:rFonts w:ascii="Arial"/>
          <w:sz w:val="18"/>
        </w:rPr>
      </w:pPr>
      <w:bookmarkStart w:name="_bookmark114" w:id="306"/>
      <w:bookmarkEnd w:id="306"/>
      <w:r>
        <w:rPr>
          <w:rFonts w:ascii="Arial" w:hAnsi="Arial" w:cs="Arial" w:eastAsia="Arial"/>
        </w:rPr>
      </w:r>
      <w:bookmarkStart w:name="_bookmark114" w:id="307"/>
      <w:bookmarkEnd w:id="307"/>
      <w:r>
        <w:rPr>
          <w:rFonts w:ascii="Arial" w:hAnsi="Arial" w:cs="Arial" w:eastAsia="Arial"/>
          <w:sz w:val="22"/>
        </w:rPr>
        <w:t>E</w:t>
      </w:r>
      <w:r>
        <w:rPr>
          <w:rFonts w:ascii="Arial" w:hAnsi="Arial" w:cs="Arial" w:eastAsia="Arial"/>
          <w:sz w:val="18"/>
        </w:rPr>
        <w:t>LECTROCARDIOGRAMS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642"/>
      </w:pPr>
      <w:r>
        <w:rPr>
          <w:rFonts w:ascii="Arial" w:hAnsi="Arial" w:cs="Arial" w:eastAsia="Arial"/>
        </w:rPr>
        <w:t>Descriptive statistics for ECG parameters and changes from baseline will be presented by visit and treatment group.</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80"/>
        <w:ind w:left="240" w:right="309"/>
      </w:pPr>
      <w:r>
        <w:rPr>
          <w:rFonts w:ascii="Arial" w:hAnsi="Arial" w:cs="Arial" w:eastAsia="Arial"/>
        </w:rPr>
        <w:t>Shift tables will present changes from baseline in ECG interpretation (categorized as normal; abnormal, not clinically significant; and abnormal, clinically significant) to end of treatment.</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pPr>
      <w:r>
        <w:rPr>
          <w:rFonts w:ascii="Arial" w:hAnsi="Arial" w:cs="Arial" w:eastAsia="Arial"/>
        </w:rPr>
        <w:t>In addition, the number (percentage) of subjects with at least 1 postbaseline abnormal ECG result in QTc Fridericia during the treatment period will be summarized. Clinically abnormal ECG results in QTc Fridericia will be categorized as follows: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5"/>
          <w:numId w:val="28"/>
        </w:numPr>
        <w:tabs>
          <w:tab w:pos="959" w:val="left" w:leader="none"/>
          <w:tab w:pos="960" w:val="left" w:leader="none"/>
        </w:tabs>
        <w:spacing w:line="240" w:lineRule="auto" w:before="1" w:after="0"/>
        <w:ind w:left="960" w:right="699" w:hanging="360"/>
        <w:jc w:val="left"/>
        <w:rPr>
          <w:sz w:val="24"/>
        </w:rPr>
      </w:pPr>
      <w:r>
        <w:rPr>
          <w:rFonts w:ascii="Arial" w:hAnsi="Arial" w:cs="Arial" w:eastAsia="Arial"/>
          <w:sz w:val="24"/>
        </w:rPr>
        <w:t>For the QT interval assessment, clinically abnormal ECG results for QT interval corrected for heart rate using Fridericia’s formula (QTcF) will be categorized as follows: QTcF values &gt;450 msec, &gt;480 msec, and &gt;500 msec, and time-matched change from baseline in QTcF &gt;30 msec and &gt;60</w:t>
      </w:r>
      <w:r>
        <w:rPr>
          <w:rFonts w:ascii="Arial" w:hAnsi="Arial" w:cs="Arial" w:eastAsia="Arial"/>
          <w:spacing w:val="-7"/>
          <w:sz w:val="24"/>
        </w:rPr>
        <w:t xml:space="preserve">  </w:t>
      </w:r>
      <w:r>
        <w:rPr>
          <w:rFonts w:ascii="Arial" w:hAnsi="Arial" w:cs="Arial" w:eastAsia="Arial"/>
          <w:sz w:val="24"/>
        </w:rPr>
        <w:t xml:space="preserve">  msec.</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4"/>
        <w:rPr>
          <w:sz w:val="21"/>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ListParagraph"/>
        <w:numPr>
          <w:ilvl w:val="4"/>
          <w:numId w:val="28"/>
        </w:numPr>
        <w:tabs>
          <w:tab w:pos="1435" w:val="left" w:leader="none"/>
          <w:tab w:pos="1436" w:val="left" w:leader="none"/>
        </w:tabs>
        <w:spacing w:line="240" w:lineRule="auto" w:before="0" w:after="0"/>
        <w:ind w:left="1435" w:right="0" w:hanging="1196"/>
        <w:jc w:val="left"/>
        <w:rPr>
          <w:rFonts w:ascii="Arial"/>
          <w:sz w:val="18"/>
        </w:rPr>
      </w:pPr>
      <w:bookmarkStart w:name="_bookmark115" w:id="308"/>
      <w:bookmarkEnd w:id="308"/>
      <w:r>
        <w:rPr>
          <w:rFonts w:ascii="Arial" w:hAnsi="Arial" w:cs="Arial" w:eastAsia="Arial"/>
        </w:rPr>
      </w:r>
      <w:bookmarkStart w:name="_bookmark115" w:id="309"/>
      <w:bookmarkEnd w:id="309"/>
      <w:r>
        <w:rPr>
          <w:rFonts w:ascii="Arial" w:hAnsi="Arial" w:cs="Arial" w:eastAsia="Arial"/>
          <w:sz w:val="22"/>
        </w:rPr>
        <w:t>O</w:t>
      </w:r>
      <w:r>
        <w:rPr>
          <w:rFonts w:ascii="Arial" w:hAnsi="Arial" w:cs="Arial" w:eastAsia="Arial"/>
          <w:sz w:val="18"/>
        </w:rPr>
        <w:t>THER </w:t>
      </w:r>
      <w:r>
        <w:rPr>
          <w:rFonts w:ascii="Arial" w:hAnsi="Arial" w:cs="Arial" w:eastAsia="Arial"/>
          <w:sz w:val="22"/>
        </w:rPr>
        <w:t xml:space="preserve">  S</w:t>
      </w:r>
      <w:r>
        <w:rPr>
          <w:rFonts w:ascii="Arial" w:hAnsi="Arial" w:cs="Arial" w:eastAsia="Arial"/>
          <w:sz w:val="18"/>
        </w:rPr>
        <w:t>AFETY</w:t>
      </w:r>
      <w:r>
        <w:rPr>
          <w:rFonts w:ascii="Arial" w:hAnsi="Arial" w:cs="Arial" w:eastAsia="Arial"/>
          <w:spacing w:val="-9"/>
          <w:sz w:val="18"/>
        </w:rPr>
        <w:t xml:space="preserve">  </w:t>
      </w:r>
      <w:r>
        <w:rPr>
          <w:rFonts w:ascii="Arial" w:hAnsi="Arial" w:cs="Arial" w:eastAsia="Arial"/>
          <w:sz w:val="22"/>
        </w:rPr>
        <w:t xml:space="preserve">  A</w:t>
      </w:r>
      <w:r>
        <w:rPr>
          <w:rFonts w:ascii="Arial" w:hAnsi="Arial" w:cs="Arial" w:eastAsia="Arial"/>
          <w:sz w:val="18"/>
        </w:rPr>
        <w:t>NALYSES</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3"/>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Proportion</w:t>
      </w:r>
      <w:r>
        <w:rPr>
          <w:rFonts w:ascii="Arial" w:hAnsi="Arial" w:cs="Arial" w:eastAsia="Arial"/>
          <w:spacing w:val="-4"/>
        </w:rPr>
        <w:t xml:space="preserve">  </w:t>
      </w:r>
      <w:r>
        <w:rPr>
          <w:rFonts w:ascii="Arial" w:hAnsi="Arial" w:cs="Arial" w:eastAsia="Arial"/>
        </w:rPr>
        <w:t xml:space="preserve">  of</w:t>
      </w:r>
      <w:r>
        <w:rPr>
          <w:rFonts w:ascii="Arial" w:hAnsi="Arial" w:cs="Arial" w:eastAsia="Arial"/>
          <w:spacing w:val="-4"/>
        </w:rPr>
        <w:t xml:space="preserve">  </w:t>
      </w:r>
      <w:r>
        <w:rPr>
          <w:rFonts w:ascii="Arial" w:hAnsi="Arial" w:cs="Arial" w:eastAsia="Arial"/>
        </w:rPr>
        <w:t xml:space="preserve">  subjects</w:t>
      </w:r>
      <w:r>
        <w:rPr>
          <w:rFonts w:ascii="Arial" w:hAnsi="Arial" w:cs="Arial" w:eastAsia="Arial"/>
          <w:spacing w:val="-3"/>
        </w:rPr>
        <w:t xml:space="preserve">  </w:t>
      </w:r>
      <w:r>
        <w:rPr>
          <w:rFonts w:ascii="Arial" w:hAnsi="Arial" w:cs="Arial" w:eastAsia="Arial"/>
        </w:rPr>
        <w:t xml:space="preserve">  with</w:t>
      </w:r>
      <w:r>
        <w:rPr>
          <w:rFonts w:ascii="Arial" w:hAnsi="Arial" w:cs="Arial" w:eastAsia="Arial"/>
          <w:spacing w:val="-4"/>
        </w:rPr>
        <w:t xml:space="preserve">  </w:t>
      </w:r>
      <w:r>
        <w:rPr>
          <w:rFonts w:ascii="Arial" w:hAnsi="Arial" w:cs="Arial" w:eastAsia="Arial"/>
        </w:rPr>
        <w:t xml:space="preserve">  any</w:t>
      </w:r>
      <w:r>
        <w:rPr>
          <w:rFonts w:ascii="Arial" w:hAnsi="Arial" w:cs="Arial" w:eastAsia="Arial"/>
          <w:spacing w:val="-7"/>
        </w:rPr>
        <w:t xml:space="preserve">  </w:t>
      </w:r>
      <w:r>
        <w:rPr>
          <w:rFonts w:ascii="Arial" w:hAnsi="Arial" w:cs="Arial" w:eastAsia="Arial"/>
        </w:rPr>
        <w:t xml:space="preserve">  treatment-emergent</w:t>
      </w:r>
      <w:r>
        <w:rPr>
          <w:rFonts w:ascii="Arial" w:hAnsi="Arial" w:cs="Arial" w:eastAsia="Arial"/>
          <w:spacing w:val="-3"/>
        </w:rPr>
        <w:t xml:space="preserve">  </w:t>
      </w:r>
      <w:r>
        <w:rPr>
          <w:rFonts w:ascii="Arial" w:hAnsi="Arial" w:cs="Arial" w:eastAsia="Arial"/>
        </w:rPr>
        <w:t xml:space="preserve">  report</w:t>
      </w:r>
      <w:r>
        <w:rPr>
          <w:rFonts w:ascii="Arial" w:hAnsi="Arial" w:cs="Arial" w:eastAsia="Arial"/>
          <w:spacing w:val="-5"/>
        </w:rPr>
        <w:t xml:space="preserve">  </w:t>
      </w:r>
      <w:r>
        <w:rPr>
          <w:rFonts w:ascii="Arial" w:hAnsi="Arial" w:cs="Arial" w:eastAsia="Arial"/>
        </w:rPr>
        <w:t xml:space="preserve">  of</w:t>
      </w:r>
      <w:r>
        <w:rPr>
          <w:rFonts w:ascii="Arial" w:hAnsi="Arial" w:cs="Arial" w:eastAsia="Arial"/>
          <w:spacing w:val="-4"/>
        </w:rPr>
        <w:t xml:space="preserve">  </w:t>
      </w:r>
      <w:r>
        <w:rPr>
          <w:rFonts w:ascii="Arial" w:hAnsi="Arial" w:cs="Arial" w:eastAsia="Arial"/>
        </w:rPr>
        <w:t xml:space="preserve">  suicidal</w:t>
      </w:r>
      <w:r>
        <w:rPr>
          <w:rFonts w:ascii="Arial" w:hAnsi="Arial" w:cs="Arial" w:eastAsia="Arial"/>
          <w:spacing w:val="-5"/>
        </w:rPr>
        <w:t xml:space="preserve">  </w:t>
      </w:r>
      <w:r>
        <w:rPr>
          <w:rFonts w:ascii="Arial" w:hAnsi="Arial" w:cs="Arial" w:eastAsia="Arial"/>
        </w:rPr>
        <w:t xml:space="preserve">  ideation</w:t>
      </w:r>
      <w:r>
        <w:rPr>
          <w:rFonts w:ascii="Arial" w:hAnsi="Arial" w:cs="Arial" w:eastAsia="Arial"/>
          <w:spacing w:val="-3"/>
        </w:rPr>
        <w:t xml:space="preserve">  </w:t>
      </w:r>
      <w:r>
        <w:rPr>
          <w:rFonts w:ascii="Arial" w:hAnsi="Arial" w:cs="Arial" w:eastAsia="Arial"/>
        </w:rPr>
        <w:t xml:space="preserve">  and</w:t>
      </w:r>
      <w:r>
        <w:rPr>
          <w:rFonts w:ascii="Arial" w:hAnsi="Arial" w:cs="Arial" w:eastAsia="Arial"/>
          <w:spacing w:val="-4"/>
        </w:rPr>
        <w:t xml:space="preserve">  </w:t>
      </w:r>
      <w:r>
        <w:rPr>
          <w:rFonts w:ascii="Arial" w:hAnsi="Arial" w:cs="Arial" w:eastAsia="Arial"/>
        </w:rPr>
        <w:t xml:space="preserve">  behavior and intensity of these behaviors will be</w:t>
      </w:r>
      <w:r>
        <w:rPr>
          <w:rFonts w:ascii="Arial" w:hAnsi="Arial" w:cs="Arial" w:eastAsia="Arial"/>
          <w:spacing w:val="-7"/>
        </w:rPr>
        <w:t xml:space="preserve">  </w:t>
      </w:r>
      <w:r>
        <w:rPr>
          <w:rFonts w:ascii="Arial" w:hAnsi="Arial" w:cs="Arial" w:eastAsia="Arial"/>
        </w:rPr>
        <w:t xml:space="preserve">  summarized.</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w:r>
        <w:cr/>
      </w:r>
    </w:p>
    <w:p>
      <w:pPr>
        <w:pStyle w:val="Heading3"/>
        <w:keepNext w:val="on"/>
        <w:ind w:left="3"/>
      </w:pPr>
      <w:r>
        <w:rPr>
          <w:rFonts w:ascii="Arial" w:hAnsi="Arial" w:cs="Arial" w:eastAsia="Arial"/>
          <w:b w:val="true"/>
          <w:sz w:val="22"/>
        </w:rPr>
        <w:t xml:space="preserve">    9.7.2 </w:t>
        <w:t>DETERMINATION OF SAMPLE SIZE</w:t>
      </w:r>
      <w:bookmarkStart w:name="_DETERMINATION_OF_SAMPLE_SIZE" w:id="1288"/>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6"/>
        <w:rPr>
          <w:rFonts w:ascii="Arial"/>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248"/>
      </w:pPr>
      <w:r>
        <w:rPr>
          <w:rFonts w:ascii="Arial" w:hAnsi="Arial" w:cs="Arial" w:eastAsia="Arial"/>
        </w:rPr>
        <w:t>Approximately 9 subjects with photosensitive epilepsy and a stable PPR will be needed to be randomized in the study in order to obtain 6 evaluable subjects. Based on a similar study in subjects with photosensitive epilepsy (NCT02564029), an estimated standard deviation of the treatment group difference of the SPR in the subject’s most sensitive eye condition is 3.62.</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423"/>
      </w:pPr>
      <w:r>
        <w:rPr>
          <w:rFonts w:ascii="Arial" w:hAnsi="Arial" w:cs="Arial" w:eastAsia="Arial"/>
        </w:rPr>
        <w:t>The width of a 90% CI of the mean group difference based on this standard deviation assumption and 6 subjects is 2.431. Therefore, a sample size of 6 would be sufficient to detect a mean group difference of 3 or larger with 90% confidence.</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
        <w:rPr>
          <w:sz w:val="21"/>
        </w:rPr>
      </w:pPr>
    </w:p>
    <w:p>
      <w:r>
        <w:cr/>
      </w:r>
    </w:p>
    <w:p>
      <w:pPr>
        <w:pStyle w:val="Heading3"/>
        <w:keepNext w:val="on"/>
        <w:ind w:left="2"/>
      </w:pPr>
      <w:r>
        <w:rPr>
          <w:rFonts w:ascii="Arial" w:hAnsi="Arial" w:cs="Arial" w:eastAsia="Arial"/>
          <w:b w:val="true"/>
          <w:sz w:val="24"/>
        </w:rPr>
        <w:t xml:space="preserve">  9.8 </w:t>
        <w:t>CHANGES IN THE CONDUCT OF THE STUDY OR PLANNED ANALYSES</w:t>
      </w:r>
      <w:bookmarkStart w:name="_CHANGES_IN_THE_CONDUCT_OF_THE_STUDY_OR_PLANNED_ANALYSES" w:id="1289"/>
    </w:p>
    <w:p>
      <w:pPr>
        <w:pStyle w:val="Heading3"/>
        <w:keepNext w:val="on"/>
        <w:ind w:left="3"/>
      </w:pPr>
      <w:r>
        <w:rPr>
          <w:rFonts w:ascii="Arial" w:hAnsi="Arial" w:cs="Arial" w:eastAsia="Arial"/>
          <w:b w:val="true"/>
          <w:sz w:val="22"/>
        </w:rPr>
        <w:t xml:space="preserve">    9.8.1 </w:t>
        <w:t>PROTOCOL AMENDMENTS</w:t>
      </w:r>
      <w:bookmarkStart w:name="_PROTOCOL_AMENDMENTS" w:id="1290"/>
    </w:p>
    <w:p>
      <w:pPr>
        <w:pStyle w:val="Heading1"/>
        <w:keepNext w:val="on"/>
        <w:ind w:left="1"/>
      </w:pPr>
      <w:r>
        <w:rPr>
          <w:rFonts w:ascii="Arial" w:hAnsi="Arial" w:cs="Arial" w:eastAsia="Arial"/>
          <w:b w:val="true"/>
          <w:sz w:val="26"/>
        </w:rPr>
        <w:t xml:space="preserve">10. </w:t>
        <w:t>STUDY POPULATION</w:t>
      </w:r>
      <w:bookmarkStart w:name="_STUDY_POPULATION" w:id="1291"/>
    </w:p>
    <w:p>
      <w:pPr>
        <w:pStyle w:val="Heading3"/>
        <w:keepNext w:val="on"/>
        <w:ind w:left="2"/>
      </w:pPr>
      <w:r>
        <w:rPr>
          <w:rFonts w:ascii="Arial" w:hAnsi="Arial" w:cs="Arial" w:eastAsia="Arial"/>
          <w:b w:val="true"/>
          <w:color w:val="ffc800"/>
          <w:sz w:val="24"/>
        </w:rPr>
        <w:t xml:space="preserve">  10.1 </w:t>
        <w:t>DISPOSITION OF PATIENTS</w:t>
      </w:r>
      <w:bookmarkStart w:name="_DISPOSITION_OF_PATIENTS" w:id="1292"/>
    </w:p>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71C73273" w14:textId="4CE5918D" w:rsidR="00046283" w:rsidRPr="0007375A" w:rsidRDefault="0007375A" w:rsidP="0007375A">
      <w:pPr>
        <w:spacing w:after="0"/>
        <w:rPr>
          <w:i/>
          <w:iCs/>
        </w:rPr>
      </w:pP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sidRPr="0007375A">
        <w:rPr>
          <w:rFonts w:ascii="Arial" w:hAnsi="Arial" w:cs="Arial" w:eastAsia="Arial"/>
          <w:b/>
          <w:bCs/>
          <w:i/>
          <w:iCs/>
          <w:color w:val="0D0D0D" w:themeColor="text1" w:themeTint="F2"/>
          <w:highlight w:val="yellow"/>
        </w:rPr>
        <w:t xml:space="preserve">Please fill this </w:t>
      </w:r>
      <w:r w:rsidRPr="0007375A">
        <w:rPr>
          <w:rFonts w:ascii="Arial" w:hAnsi="Arial" w:cs="Arial" w:eastAsia="Arial"/>
          <w:b/>
          <w:bCs/>
          <w:i/>
          <w:iCs/>
          <w:color w:val="0D0D0D" w:themeColor="text1" w:themeTint="F2"/>
          <w:highlight w:val="yellow"/>
        </w:rPr>
        <w:t xml:space="preserve">section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t xml:space="preserve">                     </w:t>
      </w:r>
    </w:p>
    <w:p>
      <w:pPr>
        <w:pStyle w:val="Heading3"/>
        <w:keepNext w:val="on"/>
        <w:ind w:left="2"/>
      </w:pPr>
      <w:r>
        <w:rPr>
          <w:rFonts w:ascii="Arial" w:hAnsi="Arial" w:cs="Arial" w:eastAsia="Arial"/>
          <w:b w:val="true"/>
          <w:color w:val="ffc800"/>
          <w:sz w:val="24"/>
        </w:rPr>
        <w:t xml:space="preserve">  10.2 </w:t>
        <w:t>PROTOCOL DEVIATIONS</w:t>
      </w:r>
      <w:bookmarkStart w:name="_PROTOCOL_DEVIATIONS" w:id="1293"/>
    </w:p>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71C73273" w14:textId="4CE5918D" w:rsidR="00046283" w:rsidRPr="0007375A" w:rsidRDefault="0007375A" w:rsidP="0007375A">
      <w:pPr>
        <w:spacing w:after="0"/>
        <w:rPr>
          <w:i/>
          <w:iCs/>
        </w:rPr>
      </w:pP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sidRPr="0007375A">
        <w:rPr>
          <w:rFonts w:ascii="Arial" w:hAnsi="Arial" w:cs="Arial" w:eastAsia="Arial"/>
          <w:b/>
          <w:bCs/>
          <w:i/>
          <w:iCs/>
          <w:color w:val="0D0D0D" w:themeColor="text1" w:themeTint="F2"/>
          <w:highlight w:val="yellow"/>
        </w:rPr>
        <w:t xml:space="preserve">Please fill this </w:t>
      </w:r>
      <w:r w:rsidRPr="0007375A">
        <w:rPr>
          <w:rFonts w:ascii="Arial" w:hAnsi="Arial" w:cs="Arial" w:eastAsia="Arial"/>
          <w:b/>
          <w:bCs/>
          <w:i/>
          <w:iCs/>
          <w:color w:val="0D0D0D" w:themeColor="text1" w:themeTint="F2"/>
          <w:highlight w:val="yellow"/>
        </w:rPr>
        <w:t xml:space="preserve">section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t xml:space="preserve">                     </w:t>
      </w:r>
    </w:p>
    <w:p>
      <w:pPr>
        <w:pStyle w:val="Heading1"/>
        <w:keepNext w:val="on"/>
        <w:ind w:left="1"/>
      </w:pPr>
      <w:r>
        <w:rPr>
          <w:rFonts w:ascii="Arial" w:hAnsi="Arial" w:cs="Arial" w:eastAsia="Arial"/>
          <w:b w:val="true"/>
          <w:color w:val="ffc800"/>
          <w:sz w:val="26"/>
        </w:rPr>
        <w:t xml:space="preserve">11. </w:t>
        <w:t>RESULTS</w:t>
      </w:r>
      <w:bookmarkStart w:name="_RESULTS" w:id="1294"/>
    </w:p>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71C73273" w14:textId="4CE5918D" w:rsidR="00046283" w:rsidRPr="0007375A" w:rsidRDefault="0007375A" w:rsidP="0007375A">
      <w:pPr>
        <w:spacing w:after="0"/>
        <w:rPr>
          <w:i/>
          <w:iCs/>
        </w:rPr>
      </w:pP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sidRPr="0007375A">
        <w:rPr>
          <w:rFonts w:ascii="Arial" w:hAnsi="Arial" w:cs="Arial" w:eastAsia="Arial"/>
          <w:b/>
          <w:bCs/>
          <w:i/>
          <w:iCs/>
          <w:color w:val="0D0D0D" w:themeColor="text1" w:themeTint="F2"/>
          <w:highlight w:val="yellow"/>
        </w:rPr>
        <w:t xml:space="preserve">Please fill this </w:t>
      </w:r>
      <w:r w:rsidRPr="0007375A">
        <w:rPr>
          <w:rFonts w:ascii="Arial" w:hAnsi="Arial" w:cs="Arial" w:eastAsia="Arial"/>
          <w:b/>
          <w:bCs/>
          <w:i/>
          <w:iCs/>
          <w:color w:val="0D0D0D" w:themeColor="text1" w:themeTint="F2"/>
          <w:highlight w:val="yellow"/>
        </w:rPr>
        <w:t xml:space="preserve">section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t xml:space="preserve">                     </w:t>
      </w:r>
    </w:p>
    <w:p>
      <w:pPr>
        <w:pStyle w:val="Heading3"/>
        <w:keepNext w:val="on"/>
        <w:ind w:left="2"/>
      </w:pPr>
      <w:r>
        <w:rPr>
          <w:rFonts w:ascii="Arial" w:hAnsi="Arial" w:cs="Arial" w:eastAsia="Arial"/>
          <w:b w:val="true"/>
          <w:sz w:val="24"/>
        </w:rPr>
        <w:t xml:space="preserve">  11.1 </w:t>
        <w:t>DATA SETS ANALYSED</w:t>
      </w:r>
      <w:bookmarkStart w:name="_DATA_SETS_ANALYSED" w:id="1295"/>
    </w:p>
    <w:p>
      <w:pPr>
        <w:pStyle w:val="Heading3"/>
        <w:keepNext w:val="on"/>
        <w:ind w:left="2"/>
      </w:pPr>
      <w:r>
        <w:rPr>
          <w:rFonts w:ascii="Arial" w:hAnsi="Arial" w:cs="Arial" w:eastAsia="Arial"/>
          <w:b w:val="true"/>
          <w:sz w:val="24"/>
        </w:rPr>
        <w:t xml:space="preserve">  11.2 </w:t>
        <w:t>DEMOGRAPHIC AND OTHER BASELINE CHARACTERISTICS</w:t>
      </w:r>
      <w:bookmarkStart w:name="_DEMOGRAPHIC_AND_OTHER_BASELINE_CHARACTERISTICS" w:id="1296"/>
    </w:p>
    <w:p>
      <w:pPr>
        <w:pStyle w:val="Heading3"/>
        <w:keepNext w:val="on"/>
        <w:ind w:left="3"/>
      </w:pPr>
      <w:r>
        <w:rPr>
          <w:rFonts w:ascii="Arial" w:hAnsi="Arial" w:cs="Arial" w:eastAsia="Arial"/>
          <w:b w:val="true"/>
          <w:sz w:val="22"/>
        </w:rPr>
        <w:t xml:space="preserve">    11.2.1 </w:t>
        <w:t>Prior and Concomittant medications</w:t>
      </w:r>
      <w:bookmarkStart w:name="_Prior_and_Concomittant_medications" w:id="1297"/>
    </w:p>
    <w:p>
      <w:pPr>
        <w:pStyle w:val="Heading3"/>
        <w:keepNext w:val="on"/>
        <w:ind w:left="2"/>
      </w:pPr>
      <w:r>
        <w:rPr>
          <w:rFonts w:ascii="Arial" w:hAnsi="Arial" w:cs="Arial" w:eastAsia="Arial"/>
          <w:b w:val="true"/>
          <w:sz w:val="24"/>
        </w:rPr>
        <w:t xml:space="preserve">  11.3 </w:t>
        <w:t>MEASUREMENTS OF TREATMENT COMPLIANCE</w:t>
      </w:r>
      <w:bookmarkStart w:name="_MEASUREMENTS_OF_TREATMENT_COMPLIANCE" w:id="1298"/>
    </w:p>
    <w:p>
      <w:pPr>
        <w:pStyle w:val="Heading3"/>
        <w:keepNext w:val="on"/>
        <w:ind w:left="2"/>
      </w:pPr>
      <w:r>
        <w:rPr>
          <w:rFonts w:ascii="Arial" w:hAnsi="Arial" w:cs="Arial" w:eastAsia="Arial"/>
          <w:b w:val="true"/>
          <w:sz w:val="24"/>
        </w:rPr>
        <w:t xml:space="preserve">  11.4 </w:t>
        <w:t>EFFICACY RESULT AND STUDY DURATION</w:t>
      </w:r>
      <w:bookmarkStart w:name="_EFFICACY_RESULT_AND_STUDY_DURATION" w:id="1299"/>
    </w:p>
    <w:p>
      <w:pPr>
        <w:pStyle w:val="Heading1"/>
        <w:keepNext w:val="on"/>
        <w:ind w:left="1"/>
      </w:pPr>
      <w:r>
        <w:rPr>
          <w:rFonts w:ascii="Arial" w:hAnsi="Arial" w:cs="Arial" w:eastAsia="Arial"/>
          <w:b w:val="true"/>
          <w:color w:val="ffc800"/>
          <w:sz w:val="26"/>
        </w:rPr>
        <w:t xml:space="preserve">12. </w:t>
        <w:t>SAFETY EVALUATION</w:t>
      </w:r>
      <w:bookmarkStart w:name="_SAFETY_EVALUATION" w:id="1300"/>
    </w:p>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71C73273" w14:textId="4CE5918D" w:rsidR="00046283" w:rsidRPr="0007375A" w:rsidRDefault="0007375A" w:rsidP="0007375A">
      <w:pPr>
        <w:spacing w:after="0"/>
        <w:rPr>
          <w:i/>
          <w:iCs/>
        </w:rPr>
      </w:pP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sidRPr="0007375A">
        <w:rPr>
          <w:rFonts w:ascii="Arial" w:hAnsi="Arial" w:cs="Arial" w:eastAsia="Arial"/>
          <w:b/>
          <w:bCs/>
          <w:i/>
          <w:iCs/>
          <w:color w:val="0D0D0D" w:themeColor="text1" w:themeTint="F2"/>
          <w:highlight w:val="yellow"/>
        </w:rPr>
        <w:t xml:space="preserve">Please fill this </w:t>
      </w:r>
      <w:r w:rsidRPr="0007375A">
        <w:rPr>
          <w:rFonts w:ascii="Arial" w:hAnsi="Arial" w:cs="Arial" w:eastAsia="Arial"/>
          <w:b/>
          <w:bCs/>
          <w:i/>
          <w:iCs/>
          <w:color w:val="0D0D0D" w:themeColor="text1" w:themeTint="F2"/>
          <w:highlight w:val="yellow"/>
        </w:rPr>
        <w:t xml:space="preserve">section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t xml:space="preserve">                     </w:t>
      </w:r>
    </w:p>
    <w:p>
      <w:pPr>
        <w:pStyle w:val="Heading3"/>
        <w:keepNext w:val="on"/>
        <w:ind w:left="2"/>
      </w:pPr>
      <w:r>
        <w:rPr>
          <w:rFonts w:ascii="Arial" w:hAnsi="Arial" w:cs="Arial" w:eastAsia="Arial"/>
          <w:b w:val="true"/>
          <w:sz w:val="24"/>
        </w:rPr>
        <w:t xml:space="preserve">  12.1 </w:t>
        <w:t>EXTENT OF EXPOSURE</w:t>
      </w:r>
      <w:bookmarkStart w:name="_EXTENT_OF_EXPOSURE" w:id="1301"/>
    </w:p>
    <w:p>
      <w:pPr>
        <w:pStyle w:val="Heading3"/>
        <w:keepNext w:val="on"/>
        <w:ind w:left="2"/>
      </w:pPr>
      <w:r>
        <w:rPr>
          <w:rFonts w:ascii="Arial" w:hAnsi="Arial" w:cs="Arial" w:eastAsia="Arial"/>
          <w:b w:val="true"/>
          <w:sz w:val="24"/>
        </w:rPr>
        <w:t xml:space="preserve">  12.2 </w:t>
        <w:t>ADVERSE EVENTS (AE’s)</w:t>
      </w:r>
      <w:bookmarkStart w:name="_ADVERSE_EVENTS_(AE’s)" w:id="1302"/>
    </w:p>
    <w:p>
      <w:pPr>
        <w:pStyle w:val="Heading3"/>
        <w:keepNext w:val="on"/>
        <w:ind w:left="3"/>
      </w:pPr>
      <w:r>
        <w:rPr>
          <w:rFonts w:ascii="Arial" w:hAnsi="Arial" w:cs="Arial" w:eastAsia="Arial"/>
          <w:b w:val="true"/>
          <w:sz w:val="22"/>
        </w:rPr>
        <w:t xml:space="preserve">    12.2.2 </w:t>
        <w:t>BRIEF SUMMARY OF ADVERSE EVENTS</w:t>
      </w:r>
      <w:bookmarkStart w:name="_BRIEF_SUMMARY_OF_ADVERSE_EVENTS" w:id="1303"/>
    </w:p>
    <w:p>
      <w:pPr>
        <w:pStyle w:val="Heading3"/>
        <w:keepNext w:val="on"/>
        <w:ind w:left="3"/>
      </w:pPr>
      <w:r>
        <w:rPr>
          <w:rFonts w:ascii="Arial" w:hAnsi="Arial" w:cs="Arial" w:eastAsia="Arial"/>
          <w:b w:val="true"/>
          <w:sz w:val="22"/>
        </w:rPr>
        <w:t xml:space="preserve">    12.2.3 </w:t>
        <w:t>TREATMENT EMERGENT ADVERSE EVENTS</w:t>
      </w:r>
      <w:bookmarkStart w:name="_TREATMENT_EMERGENT_ADVERSE_EVENTS" w:id="1304"/>
    </w:p>
    <w:p>
      <w:pPr>
        <w:pStyle w:val="Heading3"/>
        <w:keepNext w:val="on"/>
        <w:ind w:left="3"/>
      </w:pPr>
      <w:r>
        <w:rPr>
          <w:rFonts w:ascii="Arial" w:hAnsi="Arial" w:cs="Arial" w:eastAsia="Arial"/>
          <w:b w:val="true"/>
          <w:sz w:val="22"/>
        </w:rPr>
        <w:t xml:space="preserve">    12.2.4 </w:t>
        <w:t>TREATMENT RELATED ADVERSE EVENTS</w:t>
      </w:r>
      <w:bookmarkStart w:name="_TREATMENT_RELATED_ADVERSE_EVENTS" w:id="1305"/>
    </w:p>
    <w:p>
      <w:pPr>
        <w:pStyle w:val="Heading3"/>
        <w:keepNext w:val="on"/>
        <w:ind w:left="3"/>
      </w:pPr>
      <w:r>
        <w:rPr>
          <w:rFonts w:ascii="Arial" w:hAnsi="Arial" w:cs="Arial" w:eastAsia="Arial"/>
          <w:b w:val="true"/>
          <w:sz w:val="22"/>
        </w:rPr>
        <w:t xml:space="preserve">    12.2.5 </w:t>
        <w:t>IMMUNISATION TOLERANCE</w:t>
      </w:r>
      <w:bookmarkStart w:name="_IMMUNISATION_TOLERANCE" w:id="1306"/>
    </w:p>
    <w:p>
      <w:pPr>
        <w:pStyle w:val="Heading3"/>
        <w:keepNext w:val="on"/>
        <w:ind w:left="2"/>
      </w:pPr>
      <w:r>
        <w:rPr>
          <w:rFonts w:ascii="Arial" w:hAnsi="Arial" w:cs="Arial" w:eastAsia="Arial"/>
          <w:b w:val="true"/>
          <w:sz w:val="24"/>
        </w:rPr>
        <w:t xml:space="preserve">  12.3 </w:t>
        <w:t>SERIOUS ADVERSE EVENTS AND OTHER SIGNIFICANT ADVERSE EVENTS</w:t>
      </w:r>
      <w:bookmarkStart w:name="_SERIOUS_ADVERSE_EVENTS_AND_OTHER_SIGNIFICANT_ADVERSE_EVENTS" w:id="1307"/>
    </w:p>
    <w:p>
      <w:pPr>
        <w:pStyle w:val="Heading3"/>
        <w:keepNext w:val="on"/>
        <w:ind w:left="2"/>
      </w:pPr>
      <w:r>
        <w:rPr>
          <w:rFonts w:ascii="Arial" w:hAnsi="Arial" w:cs="Arial" w:eastAsia="Arial"/>
          <w:b w:val="true"/>
          <w:sz w:val="24"/>
        </w:rPr>
        <w:t xml:space="preserve">  12.4 </w:t>
        <w:t>DEATHS</w:t>
      </w:r>
      <w:bookmarkStart w:name="_DEATHS" w:id="1308"/>
    </w:p>
    <w:p>
      <w:pPr>
        <w:pStyle w:val="Heading3"/>
        <w:keepNext w:val="on"/>
        <w:ind w:left="2"/>
      </w:pPr>
      <w:r>
        <w:rPr>
          <w:rFonts w:ascii="Arial" w:hAnsi="Arial" w:cs="Arial" w:eastAsia="Arial"/>
          <w:b w:val="true"/>
          <w:sz w:val="24"/>
        </w:rPr>
        <w:t xml:space="preserve">  12.5 </w:t>
        <w:t>CLINICAL LABORATORY EVALUATION</w:t>
      </w:r>
      <w:bookmarkStart w:name="_CLINICAL_LABORATORY_EVALUATION" w:id="1309"/>
    </w:p>
    <w:p>
      <w:pPr>
        <w:pStyle w:val="Heading3"/>
        <w:keepNext w:val="on"/>
        <w:ind w:left="3"/>
      </w:pPr>
      <w:r>
        <w:rPr>
          <w:rFonts w:ascii="Arial" w:hAnsi="Arial" w:cs="Arial" w:eastAsia="Arial"/>
          <w:b w:val="true"/>
          <w:sz w:val="22"/>
        </w:rPr>
        <w:t xml:space="preserve">    12.5.1 </w:t>
        <w:t>EVALUATION OF EACH LABORATORY PARAMETER</w:t>
      </w:r>
      <w:bookmarkStart w:name="_EVALUATION_OF_EACH_LABORATORY_PARAMETER" w:id="1310"/>
    </w:p>
    <w:p>
      <w:pPr>
        <w:pStyle w:val="Heading3"/>
        <w:keepNext w:val="on"/>
        <w:ind w:left="2"/>
      </w:pPr>
      <w:r>
        <w:rPr>
          <w:rFonts w:ascii="Arial" w:hAnsi="Arial" w:cs="Arial" w:eastAsia="Arial"/>
          <w:b w:val="true"/>
          <w:sz w:val="24"/>
        </w:rPr>
        <w:t xml:space="preserve">  12.6 </w:t>
        <w:t>VITAL SIGNS, PHYSICAL FINDINGS AND OTHER OBSERVATIONS RELATED TO SAFETY</w:t>
      </w:r>
      <w:bookmarkStart w:name="_VITAL_SIGNS,_PHYSICAL_FINDINGS_AND_OTHER_OBSERVATIONS_RELATED_TO_SAFETY" w:id="1311"/>
    </w:p>
    <w:p>
      <w:pPr>
        <w:pStyle w:val="Heading3"/>
        <w:keepNext w:val="on"/>
        <w:ind w:left="2"/>
      </w:pPr>
      <w:r>
        <w:rPr>
          <w:rFonts w:ascii="Arial" w:hAnsi="Arial" w:cs="Arial" w:eastAsia="Arial"/>
          <w:b w:val="true"/>
          <w:sz w:val="24"/>
        </w:rPr>
        <w:t xml:space="preserve">  12.7 </w:t>
        <w:t>CONCOMITTANT MEDICATION USE</w:t>
      </w:r>
      <w:bookmarkStart w:name="_CONCOMITTANT_MEDICATION_USE" w:id="1312"/>
    </w:p>
    <w:p>
      <w:pPr>
        <w:pStyle w:val="Heading3"/>
        <w:keepNext w:val="on"/>
        <w:ind w:left="2"/>
      </w:pPr>
      <w:r>
        <w:rPr>
          <w:rFonts w:ascii="Arial" w:hAnsi="Arial" w:cs="Arial" w:eastAsia="Arial"/>
          <w:b w:val="true"/>
          <w:sz w:val="24"/>
        </w:rPr>
        <w:t xml:space="preserve">  12.8 </w:t>
        <w:t>SAFETY CONCLUSIONS</w:t>
      </w:r>
      <w:bookmarkStart w:name="_SAFETY_CONCLUSIONS" w:id="1313"/>
    </w:p>
    <w:p>
      <w:pPr>
        <w:pStyle w:val="Heading1"/>
        <w:keepNext w:val="on"/>
        <w:ind w:left="1"/>
      </w:pPr>
      <w:r>
        <w:rPr>
          <w:rFonts w:ascii="Arial" w:hAnsi="Arial" w:cs="Arial" w:eastAsia="Arial"/>
          <w:b w:val="true"/>
          <w:color w:val="ffc800"/>
          <w:sz w:val="26"/>
        </w:rPr>
        <w:t xml:space="preserve">13. </w:t>
        <w:t>DISCUSSION AND OVERALL CONCLUSIONS</w:t>
      </w:r>
      <w:bookmarkStart w:name="_DISCUSSION_AND_OVERALL_CONCLUSIONS" w:id="1314"/>
    </w:p>
    <w:p xmlns:aink="http://schemas.microsoft.com/office/drawing/2016/ink" xmlns:w16se="http://schemas.microsoft.com/office/word/2015/wordml/symex" xmlns:wp14="http://schemas.microsoft.com/office/word/2010/wordprocessingDrawing" xmlns:am3d="http://schemas.microsoft.com/office/drawing/2017/model3d" xmlns:mc="http://schemas.openxmlformats.org/markup-compatibility/2006" xmlns:w10="urn:schemas-microsoft-com:office:word" xmlns:w15="http://schemas.microsoft.com/office/word/2012/wordml" xmlns:w14="http://schemas.microsoft.com/office/word/2010/wordml" xmlns:cx2="http://schemas.microsoft.com/office/drawing/2015/10/21/chartex" xmlns:cx1="http://schemas.microsoft.com/office/drawing/2015/9/8/chartex" xmlns:w16="http://schemas.microsoft.com/office/word/2018/wordml" xmlns:cx4="http://schemas.microsoft.com/office/drawing/2016/5/10/chartex" xmlns:cx3="http://schemas.microsoft.com/office/drawing/2016/5/9/chartex" xmlns:cx6="http://schemas.microsoft.com/office/drawing/2016/5/12/chartex" xmlns:cx5="http://schemas.microsoft.com/office/drawing/2016/5/11/chartex" xmlns:cx8="http://schemas.microsoft.com/office/drawing/2016/5/14/chartex" xmlns:cx7="http://schemas.microsoft.com/office/drawing/2016/5/13/chartex" xmlns:w16cex="http://schemas.microsoft.com/office/word/2018/wordml/cex" xmlns:wpc="http://schemas.microsoft.com/office/word/2010/wordprocessingCanvas" xmlns:m="http://schemas.openxmlformats.org/officeDocument/2006/math" xmlns:o="urn:schemas-microsoft-com:office:office" xmlns:wpg="http://schemas.microsoft.com/office/word/2010/wordprocessingGroup" xmlns:wne="http://schemas.microsoft.com/office/word/2006/wordml" xmlns:wpi="http://schemas.microsoft.com/office/word/2010/wordprocessingInk" xmlns:cx="http://schemas.microsoft.com/office/drawing/2014/chartex" xmlns:v="urn:schemas-microsoft-com:vml" xmlns:wps="http://schemas.microsoft.com/office/word/2010/wordprocessingShape" xmlns:w16cid="http://schemas.microsoft.com/office/word/2016/wordml/cid" w14:paraId="71C73273" w14:textId="4CE5918D" w:rsidR="00046283" w:rsidRPr="0007375A" w:rsidRDefault="0007375A" w:rsidP="0007375A">
      <w:pPr>
        <w:spacing w:after="0"/>
        <w:rPr>
          <w:i/>
          <w:iCs/>
        </w:rPr>
      </w:pP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Pr>
          <w:rFonts w:ascii="Arial" w:hAnsi="Arial" w:cs="Arial" w:eastAsia="Arial"/>
          <w:b/>
          <w:bCs/>
          <w:color w:val="000000" w:themeColor="text1"/>
          <w:highlight w:val="yellow"/>
        </w:rPr>
        <w:tab/>
      </w:r>
      <w:r w:rsidRPr="0007375A">
        <w:rPr>
          <w:rFonts w:ascii="Arial" w:hAnsi="Arial" w:cs="Arial" w:eastAsia="Arial"/>
          <w:b/>
          <w:bCs/>
          <w:i/>
          <w:iCs/>
          <w:color w:val="0D0D0D" w:themeColor="text1" w:themeTint="F2"/>
          <w:highlight w:val="yellow"/>
        </w:rPr>
        <w:t xml:space="preserve">Please fill this </w:t>
      </w:r>
      <w:r w:rsidRPr="0007375A">
        <w:rPr>
          <w:rFonts w:ascii="Arial" w:hAnsi="Arial" w:cs="Arial" w:eastAsia="Arial"/>
          <w:b/>
          <w:bCs/>
          <w:i/>
          <w:iCs/>
          <w:color w:val="0D0D0D" w:themeColor="text1" w:themeTint="F2"/>
          <w:highlight w:val="yellow"/>
        </w:rPr>
        <w:t xml:space="preserve">section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t xml:space="preserve">    </w:t>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b/>
          <w:bCs/>
          <w:i/>
          <w:iCs/>
          <w:color w:val="000000" w:themeColor="text1"/>
          <w:highlight w:val="yellow"/>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r>
      <w:r w:rsidRPr="0007375A">
        <w:rPr>
          <w:rFonts w:ascii="Arial" w:hAnsi="Arial" w:cs="Arial" w:eastAsia="Arial"/>
          <w:i/>
          <w:iCs/>
        </w:rPr>
        <w:tab/>
        <w:t xml:space="preserve">                     </w:t>
      </w:r>
    </w:p>
    <w:p>
      <w:pPr>
        <w:pStyle w:val="Heading1"/>
        <w:keepNext w:val="on"/>
        <w:ind w:left="1"/>
      </w:pPr>
      <w:r>
        <w:rPr>
          <w:rFonts w:ascii="Arial" w:hAnsi="Arial" w:cs="Arial" w:eastAsia="Arial"/>
          <w:b w:val="true"/>
          <w:sz w:val="26"/>
        </w:rPr>
        <w:t xml:space="preserve">14. </w:t>
        <w:t>TABLES, FIGURES AND GRAPHS</w:t>
      </w:r>
      <w:bookmarkStart w:name="_TABLES,_FIGURES_AND_GRAPHS" w:id="1315"/>
    </w:p>
    <w:p>
      <w:pPr>
        <w:pStyle w:val="Heading1"/>
        <w:keepNext w:val="on"/>
        <w:ind w:left="1"/>
      </w:pPr>
      <w:r>
        <w:rPr>
          <w:rFonts w:ascii="Arial" w:hAnsi="Arial" w:cs="Arial" w:eastAsia="Arial"/>
          <w:b w:val="true"/>
          <w:sz w:val="26"/>
        </w:rPr>
        <w:t xml:space="preserve">15. </w:t>
        <w:t>REFERENCES</w:t>
      </w:r>
      <w:bookmarkStart w:name="_REFERENCES" w:id="1316"/>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235"/>
        <w:ind w:left="240" w:right="708"/>
      </w:pPr>
      <w:r>
        <w:rPr>
          <w:rFonts w:ascii="Arial" w:hAnsi="Arial" w:cs="Arial" w:eastAsia="Arial"/>
        </w:rPr>
        <w:t>Binnie CD, van Emde Boas W, Kasteleijn-Nolste- Trenité DG, de Korte RA, Meijer JW, Meinardi H, et al. Acute effects of lamotrigine (BW430C) in persons with epilepsy.</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pPr>
      <w:r>
        <w:rPr>
          <w:rFonts w:ascii="Arial" w:hAnsi="Arial" w:cs="Arial" w:eastAsia="Arial"/>
        </w:rPr>
        <w:t>Epilepsia. 1986a;27:248-54.</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521"/>
      </w:pPr>
      <w:r>
        <w:rPr>
          <w:rFonts w:ascii="Arial" w:hAnsi="Arial" w:cs="Arial" w:eastAsia="Arial"/>
        </w:rPr>
        <w:t>Binnie CD, Kasteleijn-Nolst Trenité DG, de Korte R. Photosensitivity as a model for acute antiepileptic drug studies. Electroencephalogr Clin Neurophysiol. 1986b;63:35-41.</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1381"/>
      </w:pPr>
      <w:r>
        <w:rPr>
          <w:rFonts w:ascii="Arial" w:hAnsi="Arial" w:cs="Arial" w:eastAsia="Arial"/>
        </w:rPr>
        <w:t>Binnie CD. Preliminary evaluation of potential anti-epileptic drugs by single dose electrophysiological and pharmacological studies in patients. J Neural Transm.</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pPr>
      <w:r>
        <w:rPr>
          <w:rFonts w:ascii="Arial" w:hAnsi="Arial" w:cs="Arial" w:eastAsia="Arial"/>
        </w:rPr>
        <w:t>1988;72:259-66.</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955"/>
      </w:pPr>
      <w:r>
        <w:rPr>
          <w:rFonts w:ascii="Arial" w:hAnsi="Arial" w:cs="Arial" w:eastAsia="Arial"/>
        </w:rPr>
        <w:t>Bond A, Lader M. The use of analogue scales in rating subjective feelings. Br. J. med. Psychol. 1974; 47: 211-8.</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French J, Krauss G. Effect of Marketed Antiepileptic Drugs and Placebo in the Human Photosensitivity Screening Protocol. Neurotherapeutics. 2014 11:412-18</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87"/>
      </w:pPr>
      <w:r>
        <w:rPr>
          <w:rFonts w:ascii="Arial" w:hAnsi="Arial" w:cs="Arial" w:eastAsia="Arial"/>
        </w:rPr>
        <w:t>Kasteleijn-Nolst Trenité DG, Genton P, Parain D, Masnou P, Steinhoff BJ, Jacobs T, et al. Evaluation of brivaracetam, a novel SV2A ligand, in the photosensitivity model. Neurology. 2007;69:1027-34.</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9"/>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
        <w:ind w:left="240" w:right="335"/>
      </w:pPr>
      <w:r>
        <w:rPr>
          <w:rFonts w:ascii="Arial" w:hAnsi="Arial" w:cs="Arial" w:eastAsia="Arial"/>
        </w:rPr>
        <w:t>Kasteleijn-Nolst Trenité DG, Marescaux C, Stodieck S, Edelbroek PM, Oosting J. Photosensitive epilepsy: a model to study the effects of antiepileptic drugs. Evaluation of the piracetam analogue, levetiracetam. Epilepsy Res. 1996;25:225-30.</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69"/>
      </w:pPr>
      <w:r>
        <w:rPr>
          <w:rFonts w:ascii="Arial" w:hAnsi="Arial" w:cs="Arial" w:eastAsia="Arial"/>
        </w:rPr>
        <w:t>Löscher W, Luna-Tortós C, Römermann K, Fedrowitz M. Do ATP-binding cassette transporters cause pharmacoresistance in epilepsy? Problems and approaches in determining which antiepileptic drugs are affected. Curr Pharm Des. 2011;17(26):2808-28.</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502"/>
      </w:pPr>
      <w:r>
        <w:rPr>
          <w:rFonts w:ascii="Arial" w:hAnsi="Arial" w:cs="Arial" w:eastAsia="Arial"/>
        </w:rPr>
        <w:t>Trenité DG, French JA, Hirsch E, Macher JP, Meyer BU, Grosse PA et al. Evaluation of carisbamate, a novel antiepileptic drug, in photosensitive patients: an exploratory, placebo- controlled study. Epilepsy Res. 2007;74:193-200.</w:t>
      </w: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spacing w:before="10"/>
        <w:rPr>
          <w:sz w:val="20"/>
        </w:rPr>
      </w:pPr>
    </w:p>
    <w:p xmlns:a="http://schemas.openxmlformats.org/drawingml/2006/main" xmlns:v="urn:schemas-microsoft-com:vml" xmlns:w10="urn:schemas-microsoft-com:office:word" xmlns:pic="http://schemas.openxmlformats.org/drawingml/2006/picture" xmlns:m="http://schemas.openxmlformats.org/officeDocument/2006/math" xmlns:ve="http://schemas.openxmlformats.org/markup-compatibility/2006" xmlns:o="urn:schemas-microsoft-com:office:office" xmlns:wne="http://schemas.microsoft.com/office/word/2006/wordml">
      <w:pPr>
        <w:pStyle w:val="BodyText"/>
        <w:ind w:left="240" w:right="302"/>
      </w:pPr>
      <w:r>
        <w:rPr>
          <w:rFonts w:ascii="Arial" w:hAnsi="Arial" w:cs="Arial" w:eastAsia="Arial"/>
        </w:rPr>
        <w:t>Columbia-Suicide Severity Rating Scale (C-SSRS). Columbia University. Available from: </w:t>
      </w:r>
      <w:hyperlink r:id="rId12">
        <w:r>
          <w:rPr>
            <w:rFonts w:ascii="Arial" w:hAnsi="Arial" w:cs="Arial" w:eastAsia="Arial"/>
          </w:rPr>
          <w:t xml:space="preserve">  http://www.cssrs.columbia.edu/scales_cssrs.html</w:t>
        </w:r>
      </w:hyperlink>
    </w:p>
    <w:p>
      <w:r>
        <w:cr/>
      </w:r>
    </w:p>
    <w:p>
      <w:pPr>
        <w:pStyle w:val="Heading1"/>
        <w:keepNext w:val="on"/>
        <w:ind w:left="1"/>
      </w:pPr>
      <w:r>
        <w:rPr>
          <w:rFonts w:ascii="Arial" w:hAnsi="Arial" w:cs="Arial" w:eastAsia="Arial"/>
          <w:b w:val="true"/>
          <w:sz w:val="26"/>
        </w:rPr>
        <w:t xml:space="preserve">16. </w:t>
        <w:t>APPENDICES</w:t>
      </w:r>
      <w:bookmarkStart w:name="_APPENDICES" w:id="1317"/>
    </w:p>
    <w:p>
      <w:pPr>
        <w:pStyle w:val="Heading3"/>
        <w:keepNext w:val="on"/>
        <w:ind w:left="2"/>
      </w:pPr>
      <w:r>
        <w:rPr>
          <w:rFonts w:ascii="Arial" w:hAnsi="Arial" w:cs="Arial" w:eastAsia="Arial"/>
          <w:b w:val="true"/>
          <w:sz w:val="24"/>
        </w:rPr>
        <w:t xml:space="preserve">  16.1 </w:t>
        <w:t>STUDY INFORMATION</w:t>
      </w:r>
      <w:bookmarkStart w:name="_STUDY_INFORMATION" w:id="1318"/>
    </w:p>
    <w:p>
      <w:pPr>
        <w:pStyle w:val="Heading3"/>
        <w:keepNext w:val="on"/>
        <w:ind w:left="3"/>
      </w:pPr>
      <w:r>
        <w:rPr>
          <w:rFonts w:ascii="Arial" w:hAnsi="Arial" w:cs="Arial" w:eastAsia="Arial"/>
          <w:b w:val="true"/>
          <w:sz w:val="22"/>
        </w:rPr>
        <w:t xml:space="preserve">    16.1.1 </w:t>
        <w:t>Protocol and Protocol Amendments</w:t>
      </w:r>
      <w:bookmarkStart w:name="_Protocol_and_Protocol_Amendments" w:id="1319"/>
    </w:p>
    <w:p>
      <w:pPr>
        <w:pStyle w:val="Heading3"/>
        <w:keepNext w:val="on"/>
        <w:ind w:left="3"/>
      </w:pPr>
      <w:r>
        <w:rPr>
          <w:rFonts w:ascii="Arial" w:hAnsi="Arial" w:cs="Arial" w:eastAsia="Arial"/>
          <w:b w:val="true"/>
          <w:sz w:val="22"/>
        </w:rPr>
        <w:t xml:space="preserve">    16.1.2 </w:t>
        <w:t>Case Report Form</w:t>
      </w:r>
      <w:bookmarkStart w:name="_Case_Report_Form" w:id="1320"/>
    </w:p>
    <w:p>
      <w:pPr>
        <w:pStyle w:val="Heading3"/>
        <w:keepNext w:val="on"/>
        <w:ind w:left="3"/>
      </w:pPr>
      <w:r>
        <w:rPr>
          <w:rFonts w:ascii="Arial" w:hAnsi="Arial" w:cs="Arial" w:eastAsia="Arial"/>
          <w:b w:val="true"/>
          <w:sz w:val="22"/>
        </w:rPr>
        <w:t xml:space="preserve">    16.1.3 </w:t>
        <w:t>Ethics Committees and Subject Information</w:t>
      </w:r>
      <w:bookmarkStart w:name="_Ethics_Committees_and_Subject_Information" w:id="1321"/>
    </w:p>
    <w:p>
      <w:pPr>
        <w:pStyle w:val="Heading3"/>
        <w:keepNext w:val="on"/>
        <w:ind w:left="3"/>
      </w:pPr>
      <w:r>
        <w:rPr>
          <w:rFonts w:ascii="Arial" w:hAnsi="Arial" w:cs="Arial" w:eastAsia="Arial"/>
          <w:b w:val="true"/>
          <w:sz w:val="22"/>
        </w:rPr>
        <w:t xml:space="preserve">    16.1.4 </w:t>
        <w:t>Regulatory Approval</w:t>
      </w:r>
      <w:bookmarkStart w:name="_Regulatory_Approval" w:id="1322"/>
    </w:p>
    <w:p>
      <w:pPr>
        <w:pStyle w:val="Heading3"/>
        <w:keepNext w:val="on"/>
        <w:ind w:left="3"/>
      </w:pPr>
      <w:r>
        <w:rPr>
          <w:rFonts w:ascii="Arial" w:hAnsi="Arial" w:cs="Arial" w:eastAsia="Arial"/>
          <w:b w:val="true"/>
          <w:sz w:val="22"/>
        </w:rPr>
        <w:t xml:space="preserve">    16.1.5 </w:t>
        <w:t>Investigators and Study Personnel</w:t>
      </w:r>
      <w:bookmarkStart w:name="_Investigators_and_Study_Personnel" w:id="1323"/>
    </w:p>
    <w:p>
      <w:pPr>
        <w:pStyle w:val="Heading3"/>
        <w:keepNext w:val="on"/>
        <w:ind w:left="3"/>
      </w:pPr>
      <w:r>
        <w:rPr>
          <w:rFonts w:ascii="Arial" w:hAnsi="Arial" w:cs="Arial" w:eastAsia="Arial"/>
          <w:b w:val="true"/>
          <w:sz w:val="22"/>
        </w:rPr>
        <w:t xml:space="preserve">    16.1.6 </w:t>
        <w:t>Sponsor and Investigator Signatures</w:t>
      </w:r>
      <w:bookmarkStart w:name="_Sponsor_and_Investigator_Signatures" w:id="1324"/>
    </w:p>
    <w:p>
      <w:pPr>
        <w:pStyle w:val="Heading3"/>
        <w:keepNext w:val="on"/>
        <w:ind w:left="3"/>
      </w:pPr>
      <w:r>
        <w:rPr>
          <w:rFonts w:ascii="Arial" w:hAnsi="Arial" w:cs="Arial" w:eastAsia="Arial"/>
          <w:b w:val="true"/>
          <w:sz w:val="22"/>
        </w:rPr>
        <w:t xml:space="preserve">    16.1.7 </w:t>
        <w:t>Randomisation Code</w:t>
      </w:r>
      <w:bookmarkStart w:name="_Randomisation_Code" w:id="1325"/>
    </w:p>
    <w:p>
      <w:pPr>
        <w:pStyle w:val="Heading3"/>
        <w:keepNext w:val="on"/>
        <w:ind w:left="3"/>
      </w:pPr>
      <w:r>
        <w:rPr>
          <w:rFonts w:ascii="Arial" w:hAnsi="Arial" w:cs="Arial" w:eastAsia="Arial"/>
          <w:b w:val="true"/>
          <w:sz w:val="22"/>
        </w:rPr>
        <w:t xml:space="preserve">    16.1.8 </w:t>
        <w:t>Study Drugs</w:t>
      </w:r>
      <w:bookmarkStart w:name="_Study_Drugs" w:id="1326"/>
    </w:p>
    <w:p>
      <w:pPr>
        <w:pStyle w:val="Heading3"/>
        <w:keepNext w:val="on"/>
        <w:ind w:left="3"/>
      </w:pPr>
      <w:r>
        <w:rPr>
          <w:rFonts w:ascii="Arial" w:hAnsi="Arial" w:cs="Arial" w:eastAsia="Arial"/>
          <w:b w:val="true"/>
          <w:sz w:val="22"/>
        </w:rPr>
        <w:t xml:space="preserve">    16.1.9 </w:t>
        <w:t>Audit Certificate</w:t>
      </w:r>
      <w:bookmarkStart w:name="_Audit_Certificate" w:id="1327"/>
    </w:p>
    <w:p>
      <w:pPr>
        <w:pStyle w:val="Heading3"/>
        <w:keepNext w:val="on"/>
        <w:ind w:left="3"/>
      </w:pPr>
      <w:r>
        <w:rPr>
          <w:rFonts w:ascii="Arial" w:hAnsi="Arial" w:cs="Arial" w:eastAsia="Arial"/>
          <w:b w:val="true"/>
          <w:sz w:val="22"/>
        </w:rPr>
        <w:t xml:space="preserve">    16.1.10 </w:t>
        <w:t>Statistical Analysis Plan</w:t>
      </w:r>
      <w:bookmarkStart w:name="_Statistical_Analysis_Plan" w:id="1328"/>
    </w:p>
    <w:p>
      <w:pPr>
        <w:pStyle w:val="Heading3"/>
        <w:keepNext w:val="on"/>
        <w:ind w:left="3"/>
      </w:pPr>
      <w:r>
        <w:rPr>
          <w:rFonts w:ascii="Arial" w:hAnsi="Arial" w:cs="Arial" w:eastAsia="Arial"/>
          <w:b w:val="true"/>
          <w:sz w:val="22"/>
        </w:rPr>
        <w:t xml:space="preserve">    16.1.11 </w:t>
        <w:t>Laboratory quality assurance</w:t>
      </w:r>
      <w:bookmarkStart w:name="_Laboratory_quality_assurance" w:id="1329"/>
    </w:p>
    <w:p>
      <w:pPr>
        <w:pStyle w:val="Heading3"/>
        <w:keepNext w:val="on"/>
        <w:ind w:left="3"/>
      </w:pPr>
      <w:r>
        <w:rPr>
          <w:rFonts w:ascii="Arial" w:hAnsi="Arial" w:cs="Arial" w:eastAsia="Arial"/>
          <w:b w:val="true"/>
          <w:sz w:val="22"/>
        </w:rPr>
        <w:t xml:space="preserve">    16.1.12 </w:t>
        <w:t>Publications based on the study</w:t>
      </w:r>
      <w:bookmarkStart w:name="_Publications_based_on_the_study" w:id="1330"/>
    </w:p>
    <w:p>
      <w:pPr>
        <w:pStyle w:val="Heading3"/>
        <w:keepNext w:val="on"/>
        <w:ind w:left="3"/>
      </w:pPr>
      <w:r>
        <w:rPr>
          <w:rFonts w:ascii="Arial" w:hAnsi="Arial" w:cs="Arial" w:eastAsia="Arial"/>
          <w:b w:val="true"/>
          <w:sz w:val="22"/>
        </w:rPr>
        <w:t xml:space="preserve">    16.1.13 </w:t>
        <w:t>Publications referenced in the report</w:t>
      </w:r>
      <w:bookmarkStart w:name="_Publications_referenced_in_the_report" w:id="1331"/>
    </w:p>
    <w:p>
      <w:pPr>
        <w:pStyle w:val="Heading3"/>
        <w:keepNext w:val="on"/>
        <w:ind w:left="2"/>
      </w:pPr>
      <w:r>
        <w:rPr>
          <w:rFonts w:ascii="Arial" w:hAnsi="Arial" w:cs="Arial" w:eastAsia="Arial"/>
          <w:b w:val="true"/>
          <w:sz w:val="24"/>
        </w:rPr>
        <w:t xml:space="preserve">  16.2 </w:t>
        <w:t>PATIENT DATA LISTINGS</w:t>
      </w:r>
      <w:bookmarkStart w:name="_PATIENT_DATA_LISTINGS" w:id="1332"/>
    </w:p>
    <w:p>
      <w:pPr>
        <w:pStyle w:val="Heading3"/>
        <w:keepNext w:val="on"/>
        <w:ind w:left="2"/>
      </w:pPr>
      <w:r>
        <w:rPr>
          <w:rFonts w:ascii="Arial" w:hAnsi="Arial" w:cs="Arial" w:eastAsia="Arial"/>
          <w:b w:val="true"/>
          <w:sz w:val="24"/>
        </w:rPr>
        <w:t xml:space="preserve">  16.3 </w:t>
        <w:t>CASE REPORT FORMS</w:t>
      </w:r>
      <w:bookmarkStart w:name="_CASE_REPORT_FORMS" w:id="1333"/>
    </w:p>
    <w:p>
      <w:pPr>
        <w:pStyle w:val="Heading3"/>
        <w:keepNext w:val="on"/>
        <w:ind w:left="3"/>
      </w:pPr>
      <w:r>
        <w:rPr>
          <w:rFonts w:ascii="Arial" w:hAnsi="Arial" w:cs="Arial" w:eastAsia="Arial"/>
          <w:b w:val="true"/>
          <w:sz w:val="22"/>
        </w:rPr>
        <w:t xml:space="preserve">    16.3.1 </w:t>
        <w:t>CRFs for deaths, other serious adverse events and withdrawals for AE</w:t>
      </w:r>
      <w:bookmarkStart w:name="_CRFs_for_deaths,_other_serious_adverse_events_and_withdrawals_for_AE" w:id="1334"/>
    </w:p>
    <w:p>
      <w:pPr>
        <w:pStyle w:val="Heading3"/>
        <w:keepNext w:val="on"/>
        <w:ind w:left="3"/>
      </w:pPr>
      <w:r>
        <w:rPr>
          <w:rFonts w:ascii="Arial" w:hAnsi="Arial" w:cs="Arial" w:eastAsia="Arial"/>
          <w:b w:val="true"/>
          <w:sz w:val="22"/>
        </w:rPr>
        <w:t xml:space="preserve">    16.3.2 </w:t>
        <w:t>Other CRFs submitted</w:t>
      </w:r>
      <w:bookmarkStart w:name="_Other_CRFs_submitted" w:id="1335"/>
    </w:p>
    <w:sectPr>
      <w:headerReference w:type="default" r:id="rId4"/>
      <w:footerReference w:type="default" r:id="rId5"/>
    </w:sectPr>
  </w:body>
</w:document>
</file>

<file path=word/footer1.xml><?xml version="1.0" encoding="utf-8"?>
<w:ftr xmlns:w="http://schemas.openxmlformats.org/wordprocessingml/2006/main">
  <w:p>
    <w:pPr>
      <w:jc w:val="left"/>
    </w:pPr>
    <w:pPr>
      <w:jc w:val="left"/>
    </w:pPr>
    <w:r>
      <w:t>Confidential</w:t>
    </w:r>
    <w:r>
      <w:ptab w:relativeTo="margin" w:alignment="right" w:leader="none"/>
    </w:r>
    <w:fldSimple w:instr="PAGE \* MERGEFORMAT"/>
    <w:r>
      <w:t xml:space="preserve"> of </w:t>
    </w:r>
    <w:fldSimple w:instr="NUMPAGES \* MERGEFORMAT"/>
  </w:p>
</w:ftr>
</file>

<file path=word/header1.xml><?xml version="1.0" encoding="utf-8"?>
<w:hdr xmlns:w="http://schemas.openxmlformats.org/wordprocessingml/2006/main">
  <w:p>
    <w:pPr>
      <w:jc w:val="left"/>
    </w:pPr>
    <w:pPr>
      <w:jc w:val="left"/>
    </w:pPr>
    <w:r>
      <w:t>Eisai</w:t>
    </w:r>
    <w:r>
      <w:ptab w:relativeTo="margin" w:alignment="right" w:leader="none"/>
    </w:r>
    <w:r>
      <w:t>E2730-A001-201</w:t>
    </w:r>
  </w:p>
</w:hdr>
</file>

<file path=word/settings.xml><?xml version="1.0" encoding="utf-8"?>
<w:settings xmlns:w="http://schemas.openxmlformats.org/wordprocessingml/2006/main">
  <w:updateFields w:val="true"/>
</w:settings>
</file>

<file path=word/styles.xml><?xml version="1.0" encoding="utf-8"?>
<w:styles xmlns:w="http://schemas.openxmlformats.org/wordprocessingml/2006/main">
  <w:style w:styleId="Heading1" w:type="paragraph">
    <w:name w:val="Heading1"/>
    <w:uiPriority w:val="1"/>
    <w:unhideWhenUsed/>
    <w:qFormat/>
    <w:pPr>
      <w:outlineLvl w:val="1"/>
    </w:pPr>
  </w:style>
  <w:style w:styleId="Heading2" w:type="paragraph">
    <w:name w:val="Heading2"/>
    <w:uiPriority w:val="2"/>
    <w:unhideWhenUsed/>
    <w:qFormat/>
    <w:pPr>
      <w:outlineLvl w:val="2"/>
    </w:pPr>
  </w:style>
  <w:style w:styleId="Heading3" w:type="paragraph">
    <w:name w:val="Heading3"/>
    <w:uiPriority w:val="2"/>
    <w:unhideWhenUsed/>
    <w:qFormat/>
    <w:pPr>
      <w:outlineLvl w:val="2"/>
    </w:pPr>
  </w:style>
  <w:style w:styleId="Heading4" w:type="paragraph">
    <w:name w:val="Heading4"/>
    <w:uiPriority w:val="3"/>
    <w:unhideWhenUsed/>
    <w:qFormat/>
    <w:pPr>
      <w:outlineLvl w:val="3"/>
    </w:p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ListParagraph" w:type="paragraph">
    <w:name w:val="List Paragraph"/>
    <w:basedOn w:val="Normal"/>
    <w:uiPriority w:val="1"/>
    <w:qFormat/>
    <w:pPr>
      <w:spacing w:before="60"/>
      <w:ind w:left="940" w:hanging="360"/>
    </w:pPr>
    <w:rPr>
      <w:rFonts w:ascii="Times New Roman" w:hAnsi="Times New Roman" w:eastAsia="Times New Roman" w:cs="Times New Roman"/>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 xmlns:r="http://schemas.openxmlformats.org/officeDocument/2006/relationships"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xmlns:r="http://schemas.openxmlformats.org/officeDocument/2006/relationships" w:default="1" w:styleId="Normal" w:type="paragraph">
    <w:name w:val="Normal"/>
    <w:uiPriority w:val="1"/>
    <w:qFormat/>
    <w:pPr/>
    <w:rPr>
      <w:rFonts w:ascii="Times New Roman" w:hAnsi="Times New Roman" w:eastAsia="Times New Roman" w:cs="Times New Roman"/>
      <w:lang w:val="en-US" w:eastAsia="en-US" w:bidi="en-US"/>
    </w:rPr>
  </w:style>
</w:styles>
</file>

<file path=word/_rels/document.xml.rels><?xml version="1.0" encoding="UTF-8" standalone="no"?><Relationships xmlns="http://schemas.openxmlformats.org/package/2006/relationships"><Relationship Id="rId1" Target="settings.xml" Type="http://schemas.openxmlformats.org/officeDocument/2006/relationships/settings"/><Relationship Id="rId2" Target="styles.xml" Type="http://schemas.openxmlformats.org/officeDocument/2006/relationships/styles"/><Relationship Id="rId3" Target="media/image1.jpeg" Type="http://schemas.openxmlformats.org/officeDocument/2006/relationships/image"/><Relationship Id="rId4" Target="header1.xml" Type="http://schemas.openxmlformats.org/officeDocument/2006/relationships/header"/><Relationship Id="rId5" Target="footer1.xml" Type="http://schemas.openxmlformats.org/officeDocument/2006/relationships/footer"/></Relationships>
</file>

<file path=docProps/app.xml><?xml version="1.0" encoding="utf-8"?>
<Properties xmlns="http://schemas.openxmlformats.org/officeDocument/2006/extended-properties">
  <Application>Apache POI</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2020-10-08T13:33:34Z</dcterms:created>
  <dc:creator>Apache POI</dc:creator>
</cp:coreProperties>
</file>